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02DF" w:rsidRPr="00A10DC8" w:rsidRDefault="00AF02DF" w:rsidP="00AF02DF">
      <w:pPr>
        <w:pStyle w:val="Poromisin"/>
        <w:jc w:val="center"/>
        <w:rPr>
          <w:rStyle w:val="Ninguno"/>
          <w:rFonts w:asciiTheme="majorHAnsi" w:hAnsiTheme="majorHAnsi" w:cs="Arial"/>
          <w:b/>
          <w:bCs/>
          <w:iCs/>
          <w:sz w:val="24"/>
          <w:szCs w:val="24"/>
          <w:shd w:val="clear" w:color="auto" w:fill="FFFFFF"/>
        </w:rPr>
      </w:pPr>
      <w:bookmarkStart w:id="0" w:name="_GoBack"/>
      <w:bookmarkEnd w:id="0"/>
      <w:r w:rsidRPr="00A10DC8">
        <w:rPr>
          <w:rStyle w:val="Ninguno"/>
          <w:rFonts w:asciiTheme="majorHAnsi" w:hAnsiTheme="majorHAnsi" w:cs="Arial"/>
          <w:b/>
          <w:bCs/>
          <w:iCs/>
          <w:sz w:val="24"/>
          <w:szCs w:val="24"/>
          <w:shd w:val="clear" w:color="auto" w:fill="FFFFFF"/>
        </w:rPr>
        <w:t xml:space="preserve">PROYECTO DE LEY No. _________ </w:t>
      </w:r>
      <w:proofErr w:type="gramStart"/>
      <w:r w:rsidRPr="00A10DC8">
        <w:rPr>
          <w:rStyle w:val="Ninguno"/>
          <w:rFonts w:asciiTheme="majorHAnsi" w:hAnsiTheme="majorHAnsi" w:cs="Arial"/>
          <w:b/>
          <w:bCs/>
          <w:iCs/>
          <w:sz w:val="24"/>
          <w:szCs w:val="24"/>
          <w:shd w:val="clear" w:color="auto" w:fill="FFFFFF"/>
        </w:rPr>
        <w:t>de</w:t>
      </w:r>
      <w:proofErr w:type="gramEnd"/>
      <w:r w:rsidRPr="00A10DC8">
        <w:rPr>
          <w:rStyle w:val="Ninguno"/>
          <w:rFonts w:asciiTheme="majorHAnsi" w:hAnsiTheme="majorHAnsi" w:cs="Arial"/>
          <w:b/>
          <w:bCs/>
          <w:iCs/>
          <w:sz w:val="24"/>
          <w:szCs w:val="24"/>
          <w:shd w:val="clear" w:color="auto" w:fill="FFFFFF"/>
        </w:rPr>
        <w:t xml:space="preserve"> 2019</w:t>
      </w:r>
    </w:p>
    <w:p w:rsidR="00AF02DF" w:rsidRPr="00A10DC8" w:rsidRDefault="00AF02DF" w:rsidP="00AF02DF">
      <w:pPr>
        <w:pStyle w:val="Poromisin"/>
        <w:jc w:val="center"/>
        <w:rPr>
          <w:rStyle w:val="Ninguno"/>
          <w:rFonts w:asciiTheme="majorHAnsi" w:hAnsiTheme="majorHAnsi" w:cs="Arial"/>
          <w:b/>
          <w:bCs/>
          <w:iCs/>
          <w:sz w:val="24"/>
          <w:szCs w:val="24"/>
          <w:shd w:val="clear" w:color="auto" w:fill="FFFFFF"/>
        </w:rPr>
      </w:pPr>
    </w:p>
    <w:p w:rsidR="00AF02DF" w:rsidRPr="00A10DC8" w:rsidRDefault="00863C47" w:rsidP="00AF02DF">
      <w:pPr>
        <w:pStyle w:val="Poromisin"/>
        <w:jc w:val="center"/>
        <w:rPr>
          <w:rStyle w:val="Ninguno"/>
          <w:rFonts w:asciiTheme="majorHAnsi" w:hAnsiTheme="majorHAnsi" w:cs="Arial"/>
          <w:b/>
          <w:bCs/>
          <w:iCs/>
          <w:sz w:val="24"/>
          <w:szCs w:val="24"/>
          <w:shd w:val="clear" w:color="auto" w:fill="FFFFFF"/>
        </w:rPr>
      </w:pPr>
      <w:r w:rsidRPr="00A10DC8">
        <w:rPr>
          <w:rStyle w:val="Ninguno"/>
          <w:rFonts w:asciiTheme="majorHAnsi" w:hAnsiTheme="majorHAnsi" w:cs="Arial"/>
          <w:b/>
          <w:bCs/>
          <w:iCs/>
          <w:sz w:val="24"/>
          <w:szCs w:val="24"/>
          <w:shd w:val="clear" w:color="auto" w:fill="FFFFFF"/>
        </w:rPr>
        <w:t>“Por medio de la cual se establece una política pública orientadas a la equidad en el acceso y el uso óptimo de medicamentos y productos biométicos”</w:t>
      </w:r>
    </w:p>
    <w:p w:rsidR="00863C47" w:rsidRPr="00A10DC8" w:rsidRDefault="00D242AA" w:rsidP="00D242AA">
      <w:pPr>
        <w:pStyle w:val="Poromisin"/>
        <w:tabs>
          <w:tab w:val="left" w:pos="3324"/>
        </w:tabs>
        <w:rPr>
          <w:rStyle w:val="Ninguno"/>
          <w:rFonts w:asciiTheme="majorHAnsi" w:hAnsiTheme="majorHAnsi" w:cs="Arial"/>
          <w:b/>
          <w:bCs/>
          <w:iCs/>
          <w:sz w:val="24"/>
          <w:szCs w:val="24"/>
          <w:shd w:val="clear" w:color="auto" w:fill="FFFFFF"/>
        </w:rPr>
      </w:pPr>
      <w:r>
        <w:rPr>
          <w:rStyle w:val="Ninguno"/>
          <w:rFonts w:asciiTheme="majorHAnsi" w:hAnsiTheme="majorHAnsi" w:cs="Arial"/>
          <w:b/>
          <w:bCs/>
          <w:iCs/>
          <w:sz w:val="24"/>
          <w:szCs w:val="24"/>
          <w:shd w:val="clear" w:color="auto" w:fill="FFFFFF"/>
        </w:rPr>
        <w:tab/>
      </w:r>
    </w:p>
    <w:p w:rsidR="00863C47" w:rsidRPr="00A10DC8" w:rsidRDefault="00863C47" w:rsidP="00AF02DF">
      <w:pPr>
        <w:pStyle w:val="Poromisin"/>
        <w:jc w:val="center"/>
        <w:rPr>
          <w:rStyle w:val="Ninguno"/>
          <w:rFonts w:asciiTheme="majorHAnsi" w:hAnsiTheme="majorHAnsi" w:cs="Arial"/>
          <w:b/>
          <w:bCs/>
          <w:iCs/>
          <w:sz w:val="24"/>
          <w:szCs w:val="24"/>
          <w:shd w:val="clear" w:color="auto" w:fill="FFFFFF"/>
        </w:rPr>
      </w:pPr>
      <w:r w:rsidRPr="00A10DC8">
        <w:rPr>
          <w:rStyle w:val="Ninguno"/>
          <w:rFonts w:asciiTheme="majorHAnsi" w:hAnsiTheme="majorHAnsi" w:cs="Arial"/>
          <w:b/>
          <w:bCs/>
          <w:iCs/>
          <w:sz w:val="24"/>
          <w:szCs w:val="24"/>
          <w:shd w:val="clear" w:color="auto" w:fill="FFFFFF"/>
        </w:rPr>
        <w:t xml:space="preserve">El Congreso de Colombia </w:t>
      </w:r>
    </w:p>
    <w:p w:rsidR="00863C47" w:rsidRPr="00A10DC8" w:rsidRDefault="00863C47" w:rsidP="00AF02DF">
      <w:pPr>
        <w:pStyle w:val="Poromisin"/>
        <w:jc w:val="center"/>
        <w:rPr>
          <w:rStyle w:val="Ninguno"/>
          <w:rFonts w:asciiTheme="majorHAnsi" w:hAnsiTheme="majorHAnsi" w:cs="Arial"/>
          <w:b/>
          <w:bCs/>
          <w:iCs/>
          <w:sz w:val="24"/>
          <w:szCs w:val="24"/>
          <w:shd w:val="clear" w:color="auto" w:fill="FFFFFF"/>
        </w:rPr>
      </w:pPr>
    </w:p>
    <w:p w:rsidR="00863C47" w:rsidRPr="00A10DC8" w:rsidRDefault="00863C47" w:rsidP="00AF02DF">
      <w:pPr>
        <w:pStyle w:val="Poromisin"/>
        <w:jc w:val="center"/>
        <w:rPr>
          <w:rStyle w:val="Ninguno"/>
          <w:rFonts w:asciiTheme="majorHAnsi" w:hAnsiTheme="majorHAnsi" w:cs="Arial"/>
          <w:b/>
          <w:bCs/>
          <w:iCs/>
          <w:sz w:val="24"/>
          <w:szCs w:val="24"/>
          <w:shd w:val="clear" w:color="auto" w:fill="FFFFFF"/>
        </w:rPr>
      </w:pPr>
      <w:r w:rsidRPr="00A10DC8">
        <w:rPr>
          <w:rStyle w:val="Ninguno"/>
          <w:rFonts w:asciiTheme="majorHAnsi" w:hAnsiTheme="majorHAnsi" w:cs="Arial"/>
          <w:b/>
          <w:bCs/>
          <w:iCs/>
          <w:sz w:val="24"/>
          <w:szCs w:val="24"/>
          <w:shd w:val="clear" w:color="auto" w:fill="FFFFFF"/>
        </w:rPr>
        <w:t>Decreta:</w:t>
      </w:r>
    </w:p>
    <w:p w:rsidR="00863C47" w:rsidRPr="00A10DC8" w:rsidRDefault="00863C47" w:rsidP="00AF02DF">
      <w:pPr>
        <w:pStyle w:val="Poromisin"/>
        <w:jc w:val="center"/>
        <w:rPr>
          <w:rStyle w:val="Ninguno"/>
          <w:rFonts w:asciiTheme="majorHAnsi" w:hAnsiTheme="majorHAnsi" w:cs="Arial"/>
          <w:b/>
          <w:bCs/>
          <w:iCs/>
          <w:sz w:val="24"/>
          <w:szCs w:val="24"/>
          <w:shd w:val="clear" w:color="auto" w:fill="FFFFFF"/>
        </w:rPr>
      </w:pPr>
    </w:p>
    <w:p w:rsidR="00863C47" w:rsidRPr="00A10DC8" w:rsidRDefault="00121ACE" w:rsidP="00121ACE">
      <w:pPr>
        <w:pStyle w:val="Poromisin"/>
        <w:jc w:val="both"/>
        <w:rPr>
          <w:rStyle w:val="Ninguno"/>
          <w:rFonts w:asciiTheme="majorHAnsi" w:hAnsiTheme="majorHAnsi" w:cs="Arial"/>
          <w:bCs/>
          <w:iCs/>
          <w:sz w:val="24"/>
          <w:szCs w:val="24"/>
          <w:shd w:val="clear" w:color="auto" w:fill="FFFFFF"/>
        </w:rPr>
      </w:pPr>
      <w:r w:rsidRPr="00A10DC8">
        <w:rPr>
          <w:rStyle w:val="Ninguno"/>
          <w:rFonts w:asciiTheme="majorHAnsi" w:hAnsiTheme="majorHAnsi" w:cs="Arial"/>
          <w:b/>
          <w:bCs/>
          <w:iCs/>
          <w:sz w:val="24"/>
          <w:szCs w:val="24"/>
          <w:shd w:val="clear" w:color="auto" w:fill="FFFFFF"/>
        </w:rPr>
        <w:t xml:space="preserve">Artículo 1°. OBJETO: </w:t>
      </w:r>
      <w:r w:rsidR="00A10DC8" w:rsidRPr="00A10DC8">
        <w:rPr>
          <w:rStyle w:val="Ninguno"/>
          <w:rFonts w:asciiTheme="majorHAnsi" w:hAnsiTheme="majorHAnsi" w:cs="Arial"/>
          <w:bCs/>
          <w:iCs/>
          <w:sz w:val="24"/>
          <w:szCs w:val="24"/>
          <w:shd w:val="clear" w:color="auto" w:fill="FFFFFF"/>
        </w:rPr>
        <w:t>La presente ley busca garantizar plenamente el derecho a la salud, con la regulación del mercado de medicamentos en desarrollo de la política farmacéutica nacional, basada en los principios de solidaridad, transparencia y promoción de la competencia.</w:t>
      </w:r>
    </w:p>
    <w:p w:rsidR="00121ACE" w:rsidRPr="00A10DC8" w:rsidRDefault="00121ACE" w:rsidP="00121ACE">
      <w:pPr>
        <w:pStyle w:val="Poromisin"/>
        <w:jc w:val="both"/>
        <w:rPr>
          <w:rStyle w:val="Ninguno"/>
          <w:rFonts w:asciiTheme="majorHAnsi" w:hAnsiTheme="majorHAnsi" w:cs="Arial"/>
          <w:b/>
          <w:bCs/>
          <w:iCs/>
          <w:sz w:val="24"/>
          <w:szCs w:val="24"/>
          <w:shd w:val="clear" w:color="auto" w:fill="FFFFFF"/>
        </w:rPr>
      </w:pPr>
    </w:p>
    <w:p w:rsidR="00121ACE" w:rsidRPr="00A10DC8" w:rsidRDefault="00121ACE" w:rsidP="00121ACE">
      <w:pPr>
        <w:pStyle w:val="Poromisin"/>
        <w:jc w:val="both"/>
        <w:rPr>
          <w:rStyle w:val="Ninguno"/>
          <w:rFonts w:asciiTheme="majorHAnsi" w:hAnsiTheme="majorHAnsi" w:cs="Arial"/>
          <w:b/>
          <w:bCs/>
          <w:iCs/>
          <w:sz w:val="24"/>
          <w:szCs w:val="24"/>
          <w:shd w:val="clear" w:color="auto" w:fill="FFFFFF"/>
        </w:rPr>
      </w:pPr>
    </w:p>
    <w:p w:rsidR="00B81512" w:rsidRDefault="00A10DC8" w:rsidP="00B81512">
      <w:pPr>
        <w:pStyle w:val="Poromisin"/>
        <w:jc w:val="both"/>
        <w:rPr>
          <w:rFonts w:asciiTheme="majorHAnsi" w:hAnsiTheme="majorHAnsi" w:cs="Arial"/>
          <w:i/>
          <w:iCs/>
          <w:sz w:val="24"/>
          <w:szCs w:val="24"/>
          <w:shd w:val="clear" w:color="auto" w:fill="FFFFFF"/>
        </w:rPr>
      </w:pPr>
      <w:r w:rsidRPr="00A10DC8">
        <w:rPr>
          <w:rStyle w:val="Ninguno"/>
          <w:rFonts w:asciiTheme="majorHAnsi" w:hAnsiTheme="majorHAnsi" w:cs="Arial"/>
          <w:b/>
          <w:bCs/>
          <w:i/>
          <w:iCs/>
          <w:sz w:val="24"/>
          <w:szCs w:val="24"/>
          <w:shd w:val="clear" w:color="auto" w:fill="FFFFFF"/>
        </w:rPr>
        <w:t>Artículo 2°</w:t>
      </w:r>
      <w:r w:rsidR="00AF02DF" w:rsidRPr="00A10DC8">
        <w:rPr>
          <w:rStyle w:val="Ninguno"/>
          <w:rFonts w:asciiTheme="majorHAnsi" w:hAnsiTheme="majorHAnsi" w:cs="Arial"/>
          <w:b/>
          <w:bCs/>
          <w:i/>
          <w:iCs/>
          <w:sz w:val="24"/>
          <w:szCs w:val="24"/>
          <w:shd w:val="clear" w:color="auto" w:fill="FFFFFF"/>
        </w:rPr>
        <w:t xml:space="preserve"> DENOMINACIÓN COMÚN INTERNACIONAL EN PATENTES FARMACÉUTICAS</w:t>
      </w:r>
      <w:r w:rsidR="00AF02DF" w:rsidRPr="00A10DC8">
        <w:rPr>
          <w:rFonts w:asciiTheme="majorHAnsi" w:hAnsiTheme="majorHAnsi" w:cs="Arial"/>
          <w:i/>
          <w:iCs/>
          <w:sz w:val="24"/>
          <w:szCs w:val="24"/>
          <w:shd w:val="clear" w:color="auto" w:fill="FFFFFF"/>
        </w:rPr>
        <w:t xml:space="preserve">. </w:t>
      </w:r>
      <w:r w:rsidR="00B81512">
        <w:rPr>
          <w:rFonts w:asciiTheme="majorHAnsi" w:hAnsiTheme="majorHAnsi" w:cs="Arial"/>
          <w:i/>
          <w:iCs/>
          <w:sz w:val="24"/>
          <w:szCs w:val="24"/>
          <w:shd w:val="clear" w:color="auto" w:fill="FFFFFF"/>
        </w:rPr>
        <w:t xml:space="preserve">Toda solicitud de una patente que consista o contenga un principio activo incluido en un producto farmacéutico deberá indicar en la solicitud, al momento de su presentación, si la tuviere, la denominación común </w:t>
      </w:r>
      <w:proofErr w:type="gramStart"/>
      <w:r w:rsidR="00B81512">
        <w:rPr>
          <w:rFonts w:asciiTheme="majorHAnsi" w:hAnsiTheme="majorHAnsi" w:cs="Arial"/>
          <w:i/>
          <w:iCs/>
          <w:sz w:val="24"/>
          <w:szCs w:val="24"/>
          <w:shd w:val="clear" w:color="auto" w:fill="FFFFFF"/>
        </w:rPr>
        <w:t>correspondiente ,</w:t>
      </w:r>
      <w:proofErr w:type="gramEnd"/>
      <w:r w:rsidR="00B81512">
        <w:rPr>
          <w:rFonts w:asciiTheme="majorHAnsi" w:hAnsiTheme="majorHAnsi" w:cs="Arial"/>
          <w:i/>
          <w:iCs/>
          <w:sz w:val="24"/>
          <w:szCs w:val="24"/>
          <w:shd w:val="clear" w:color="auto" w:fill="FFFFFF"/>
        </w:rPr>
        <w:t xml:space="preserve"> determinada por la Organización Mundial de la Salud, en idioma español. Si la denominación común internacional correspondiente no fuera conocida al momento de presentar la solicitud, ésta deberá ser informada a la Superintendencia de Industria y Comercio tan pronto se encuentre disponible. La misma obligación regirá para las modificaciones que sean objeto de la denominación común internacional o sus modificaciones.</w:t>
      </w:r>
    </w:p>
    <w:p w:rsidR="00B81512" w:rsidRDefault="00B81512" w:rsidP="00B81512">
      <w:pPr>
        <w:pStyle w:val="Poromisin"/>
        <w:jc w:val="both"/>
        <w:rPr>
          <w:rFonts w:asciiTheme="majorHAnsi" w:hAnsiTheme="majorHAnsi" w:cs="Arial"/>
          <w:i/>
          <w:iCs/>
          <w:sz w:val="24"/>
          <w:szCs w:val="24"/>
          <w:shd w:val="clear" w:color="auto" w:fill="FFFFFF"/>
        </w:rPr>
      </w:pPr>
    </w:p>
    <w:p w:rsidR="00B81512" w:rsidRDefault="00B81512" w:rsidP="00B81512">
      <w:pPr>
        <w:pStyle w:val="Poromisin"/>
        <w:jc w:val="both"/>
        <w:rPr>
          <w:rFonts w:asciiTheme="majorHAnsi" w:hAnsiTheme="majorHAnsi" w:cs="Arial"/>
          <w:i/>
          <w:iCs/>
          <w:sz w:val="24"/>
          <w:szCs w:val="24"/>
          <w:shd w:val="clear" w:color="auto" w:fill="FFFFFF"/>
        </w:rPr>
      </w:pPr>
      <w:r>
        <w:rPr>
          <w:rFonts w:asciiTheme="majorHAnsi" w:hAnsiTheme="majorHAnsi" w:cs="Arial"/>
          <w:i/>
          <w:iCs/>
          <w:sz w:val="24"/>
          <w:szCs w:val="24"/>
          <w:shd w:val="clear" w:color="auto" w:fill="FFFFFF"/>
        </w:rPr>
        <w:t xml:space="preserve">Los solicitantes que hubieren radicado solicitudes de patente y titulares de patentes ya otorgadas que consistan o contengan un principio activo incluido en un producto farmacéutico deberán informar a la Superintendencia de Industria y Comercio la denominación común internacional correspondiente, en idioma español, tan pronto se encuentre disponible. </w:t>
      </w:r>
    </w:p>
    <w:p w:rsidR="00B81512" w:rsidRDefault="00B81512" w:rsidP="00B81512">
      <w:pPr>
        <w:pStyle w:val="Poromisin"/>
        <w:jc w:val="both"/>
        <w:rPr>
          <w:rFonts w:asciiTheme="majorHAnsi" w:hAnsiTheme="majorHAnsi" w:cs="Arial"/>
          <w:i/>
          <w:iCs/>
          <w:sz w:val="24"/>
          <w:szCs w:val="24"/>
          <w:shd w:val="clear" w:color="auto" w:fill="FFFFFF"/>
        </w:rPr>
      </w:pPr>
    </w:p>
    <w:p w:rsidR="00AF02DF" w:rsidRPr="00A10DC8" w:rsidRDefault="00B81512" w:rsidP="00B81512">
      <w:pPr>
        <w:pStyle w:val="Poromisin"/>
        <w:jc w:val="both"/>
        <w:rPr>
          <w:rFonts w:asciiTheme="majorHAnsi" w:eastAsia="Arial" w:hAnsiTheme="majorHAnsi" w:cs="Arial"/>
          <w:i/>
          <w:iCs/>
          <w:sz w:val="24"/>
          <w:szCs w:val="24"/>
          <w:shd w:val="clear" w:color="auto" w:fill="FFFFFF"/>
        </w:rPr>
      </w:pPr>
      <w:r>
        <w:rPr>
          <w:rFonts w:asciiTheme="majorHAnsi" w:hAnsiTheme="majorHAnsi" w:cs="Arial"/>
          <w:i/>
          <w:iCs/>
          <w:sz w:val="24"/>
          <w:szCs w:val="24"/>
          <w:shd w:val="clear" w:color="auto" w:fill="FFFFFF"/>
        </w:rPr>
        <w:t xml:space="preserve">La Superintendencia de Industria y Comercio actualizará la información de la denominación común internacional en el Registro Público de la Propiedad Industrial.  </w:t>
      </w:r>
    </w:p>
    <w:p w:rsidR="00AF02DF" w:rsidRPr="00A10DC8" w:rsidRDefault="00AF02DF" w:rsidP="00AF02DF">
      <w:pPr>
        <w:pStyle w:val="Poromisin"/>
        <w:jc w:val="both"/>
        <w:rPr>
          <w:rFonts w:asciiTheme="majorHAnsi" w:eastAsia="Arial" w:hAnsiTheme="majorHAnsi" w:cs="Arial"/>
          <w:i/>
          <w:iCs/>
          <w:sz w:val="24"/>
          <w:szCs w:val="24"/>
          <w:shd w:val="clear" w:color="auto" w:fill="FFFFFF"/>
        </w:rPr>
      </w:pPr>
      <w:r w:rsidRPr="00A10DC8">
        <w:rPr>
          <w:rFonts w:asciiTheme="majorHAnsi" w:hAnsiTheme="majorHAnsi" w:cs="Arial"/>
          <w:i/>
          <w:iCs/>
          <w:sz w:val="24"/>
          <w:szCs w:val="24"/>
          <w:shd w:val="clear" w:color="auto" w:fill="FFFFFF"/>
        </w:rPr>
        <w:t> </w:t>
      </w:r>
    </w:p>
    <w:p w:rsidR="00A10DC8" w:rsidRPr="00A10DC8" w:rsidRDefault="00A10DC8" w:rsidP="00AF02DF">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Style w:val="Ninguno"/>
          <w:rFonts w:asciiTheme="majorHAnsi" w:hAnsiTheme="majorHAnsi" w:cs="Arial"/>
          <w:b/>
          <w:bCs/>
          <w:i/>
          <w:iCs/>
          <w:sz w:val="24"/>
          <w:szCs w:val="24"/>
          <w:u w:color="000000"/>
        </w:rPr>
      </w:pPr>
      <w:r w:rsidRPr="00A10DC8">
        <w:rPr>
          <w:rStyle w:val="Ninguno"/>
          <w:rFonts w:asciiTheme="majorHAnsi" w:hAnsiTheme="majorHAnsi" w:cs="Arial"/>
          <w:b/>
          <w:bCs/>
          <w:i/>
          <w:iCs/>
          <w:sz w:val="24"/>
          <w:szCs w:val="24"/>
          <w:u w:color="000000"/>
        </w:rPr>
        <w:t>Artículo 3°. Modifíquese el artículo</w:t>
      </w:r>
      <w:r w:rsidR="00B81512">
        <w:rPr>
          <w:rStyle w:val="Ninguno"/>
          <w:rFonts w:asciiTheme="majorHAnsi" w:hAnsiTheme="majorHAnsi" w:cs="Arial"/>
          <w:b/>
          <w:bCs/>
          <w:i/>
          <w:iCs/>
          <w:sz w:val="24"/>
          <w:szCs w:val="24"/>
          <w:u w:color="000000"/>
        </w:rPr>
        <w:t xml:space="preserve"> 167 de la Ley 1955 de 2019, el cual quedará así:</w:t>
      </w:r>
      <w:r w:rsidRPr="00A10DC8">
        <w:rPr>
          <w:rStyle w:val="Ninguno"/>
          <w:rFonts w:asciiTheme="majorHAnsi" w:hAnsiTheme="majorHAnsi" w:cs="Arial"/>
          <w:b/>
          <w:bCs/>
          <w:i/>
          <w:iCs/>
          <w:sz w:val="24"/>
          <w:szCs w:val="24"/>
          <w:u w:color="000000"/>
        </w:rPr>
        <w:t xml:space="preserve"> </w:t>
      </w:r>
    </w:p>
    <w:p w:rsidR="00A10DC8" w:rsidRPr="00A10DC8" w:rsidRDefault="00A10DC8" w:rsidP="00AF02DF">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Style w:val="Ninguno"/>
          <w:rFonts w:asciiTheme="majorHAnsi" w:hAnsiTheme="majorHAnsi" w:cs="Arial"/>
          <w:b/>
          <w:bCs/>
          <w:i/>
          <w:iCs/>
          <w:sz w:val="24"/>
          <w:szCs w:val="24"/>
          <w:u w:color="000000"/>
        </w:rPr>
      </w:pPr>
    </w:p>
    <w:p w:rsidR="00AF02DF" w:rsidRPr="00A10DC8" w:rsidRDefault="00A10DC8" w:rsidP="00AF02DF">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Style w:val="Ninguno"/>
          <w:rFonts w:asciiTheme="majorHAnsi" w:eastAsia="Arial" w:hAnsiTheme="majorHAnsi" w:cs="Arial"/>
          <w:i/>
          <w:iCs/>
          <w:sz w:val="24"/>
          <w:szCs w:val="24"/>
          <w:u w:color="000000"/>
        </w:rPr>
      </w:pPr>
      <w:r w:rsidRPr="00A10DC8">
        <w:rPr>
          <w:rStyle w:val="Ninguno"/>
          <w:rFonts w:asciiTheme="majorHAnsi" w:hAnsiTheme="majorHAnsi" w:cs="Arial"/>
          <w:b/>
          <w:bCs/>
          <w:i/>
          <w:iCs/>
          <w:sz w:val="24"/>
          <w:szCs w:val="24"/>
          <w:u w:color="000000"/>
        </w:rPr>
        <w:t>ARTI</w:t>
      </w:r>
      <w:r w:rsidR="00B81512">
        <w:rPr>
          <w:rStyle w:val="Ninguno"/>
          <w:rFonts w:asciiTheme="majorHAnsi" w:hAnsiTheme="majorHAnsi" w:cs="Arial"/>
          <w:b/>
          <w:bCs/>
          <w:i/>
          <w:iCs/>
          <w:sz w:val="24"/>
          <w:szCs w:val="24"/>
          <w:u w:color="000000"/>
        </w:rPr>
        <w:t>ULO 167</w:t>
      </w:r>
      <w:r w:rsidR="00AF02DF" w:rsidRPr="00A10DC8">
        <w:rPr>
          <w:rStyle w:val="Ninguno"/>
          <w:rFonts w:asciiTheme="majorHAnsi" w:hAnsiTheme="majorHAnsi" w:cs="Arial"/>
          <w:b/>
          <w:bCs/>
          <w:i/>
          <w:iCs/>
          <w:sz w:val="24"/>
          <w:szCs w:val="24"/>
          <w:u w:color="000000"/>
        </w:rPr>
        <w:t>º. EXPLOTACIÓN DE BIENES INTANGIBLES Y DERECHOS DE PROPIEDAD INTELECTUAL.</w:t>
      </w:r>
      <w:r w:rsidR="00AF02DF" w:rsidRPr="00A10DC8">
        <w:rPr>
          <w:rStyle w:val="Ninguno"/>
          <w:rFonts w:asciiTheme="majorHAnsi" w:hAnsiTheme="majorHAnsi" w:cs="Arial"/>
          <w:i/>
          <w:iCs/>
          <w:sz w:val="24"/>
          <w:szCs w:val="24"/>
          <w:u w:color="000000"/>
        </w:rPr>
        <w:t xml:space="preserve"> La entidad pública que sea titular de bienes intangibles y derechos de propiedad intelectual (marcas, patentes, diseños industriales, esquemas de trazado de circuito, variedades de vegetales, derechos de autor, entre otros), podrá negociar la explotación comercial siempre y cuando la entidad demuestre y soporte con </w:t>
      </w:r>
      <w:r w:rsidR="00AF02DF" w:rsidRPr="00A10DC8">
        <w:rPr>
          <w:rStyle w:val="Ninguno"/>
          <w:rFonts w:asciiTheme="majorHAnsi" w:hAnsiTheme="majorHAnsi" w:cs="Arial"/>
          <w:i/>
          <w:iCs/>
          <w:sz w:val="24"/>
          <w:szCs w:val="24"/>
          <w:u w:color="000000"/>
        </w:rPr>
        <w:lastRenderedPageBreak/>
        <w:t xml:space="preserve">estudios de vialidad jurídica y financiera el potencial comercial del bien intangible.  </w:t>
      </w:r>
      <w:r w:rsidR="00AF02DF" w:rsidRPr="00A10DC8">
        <w:rPr>
          <w:rStyle w:val="Ninguno"/>
          <w:rFonts w:asciiTheme="majorHAnsi" w:hAnsiTheme="majorHAnsi" w:cs="Arial"/>
          <w:sz w:val="24"/>
          <w:szCs w:val="24"/>
          <w:u w:color="000000"/>
        </w:rPr>
        <w:br/>
      </w:r>
    </w:p>
    <w:p w:rsidR="00AF02DF" w:rsidRPr="00A10DC8" w:rsidRDefault="00AF02DF" w:rsidP="00AF02DF">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Style w:val="Ninguno"/>
          <w:rFonts w:asciiTheme="majorHAnsi" w:eastAsia="Arial" w:hAnsiTheme="majorHAnsi" w:cs="Arial"/>
          <w:i/>
          <w:iCs/>
          <w:sz w:val="24"/>
          <w:szCs w:val="24"/>
          <w:u w:color="000000"/>
        </w:rPr>
      </w:pPr>
      <w:r w:rsidRPr="00A10DC8">
        <w:rPr>
          <w:rStyle w:val="Ninguno"/>
          <w:rFonts w:asciiTheme="majorHAnsi" w:hAnsiTheme="majorHAnsi" w:cs="Arial"/>
          <w:i/>
          <w:iCs/>
          <w:sz w:val="24"/>
          <w:szCs w:val="24"/>
          <w:u w:color="000000"/>
        </w:rPr>
        <w:t xml:space="preserve">Con los beneficios y/o regalías que se generen de la explotación comercial del bien intangible y/o derecho de propiedad intelectual la entidad titular deberá destinarlos para el apoyo e inversión a los proyectos, actividades e iniciativas de ciencia, </w:t>
      </w:r>
      <w:proofErr w:type="spellStart"/>
      <w:r w:rsidRPr="00A10DC8">
        <w:rPr>
          <w:rStyle w:val="Ninguno"/>
          <w:rFonts w:asciiTheme="majorHAnsi" w:hAnsiTheme="majorHAnsi" w:cs="Arial"/>
          <w:i/>
          <w:iCs/>
          <w:sz w:val="24"/>
          <w:szCs w:val="24"/>
          <w:u w:color="000000"/>
        </w:rPr>
        <w:t>tecnologí</w:t>
      </w:r>
      <w:proofErr w:type="spellEnd"/>
      <w:r w:rsidRPr="00A10DC8">
        <w:rPr>
          <w:rStyle w:val="Ninguno"/>
          <w:rFonts w:asciiTheme="majorHAnsi" w:hAnsiTheme="majorHAnsi" w:cs="Arial"/>
          <w:i/>
          <w:iCs/>
          <w:sz w:val="24"/>
          <w:szCs w:val="24"/>
          <w:u w:color="000000"/>
          <w:lang w:val="it-IT"/>
        </w:rPr>
        <w:t>a e innovaci</w:t>
      </w:r>
      <w:proofErr w:type="spellStart"/>
      <w:r w:rsidRPr="00A10DC8">
        <w:rPr>
          <w:rStyle w:val="Ninguno"/>
          <w:rFonts w:asciiTheme="majorHAnsi" w:hAnsiTheme="majorHAnsi" w:cs="Arial"/>
          <w:i/>
          <w:iCs/>
          <w:sz w:val="24"/>
          <w:szCs w:val="24"/>
          <w:u w:color="000000"/>
        </w:rPr>
        <w:t>ón</w:t>
      </w:r>
      <w:proofErr w:type="spellEnd"/>
      <w:r w:rsidRPr="00A10DC8">
        <w:rPr>
          <w:rStyle w:val="Ninguno"/>
          <w:rFonts w:asciiTheme="majorHAnsi" w:hAnsiTheme="majorHAnsi" w:cs="Arial"/>
          <w:i/>
          <w:iCs/>
          <w:sz w:val="24"/>
          <w:szCs w:val="24"/>
          <w:u w:color="000000"/>
        </w:rPr>
        <w:t xml:space="preserve"> de la entidad. </w:t>
      </w:r>
    </w:p>
    <w:p w:rsidR="00AF02DF" w:rsidRPr="00A10DC8" w:rsidRDefault="00AF02DF" w:rsidP="00AF02DF">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Style w:val="Ninguno"/>
          <w:rFonts w:asciiTheme="majorHAnsi" w:eastAsia="Arial" w:hAnsiTheme="majorHAnsi" w:cs="Arial"/>
          <w:i/>
          <w:iCs/>
          <w:sz w:val="24"/>
          <w:szCs w:val="24"/>
          <w:u w:color="000000"/>
        </w:rPr>
      </w:pPr>
    </w:p>
    <w:p w:rsidR="00AF02DF" w:rsidRPr="00A10DC8" w:rsidRDefault="00AF02DF" w:rsidP="00AF02DF">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Style w:val="Ninguno"/>
          <w:rFonts w:asciiTheme="majorHAnsi" w:eastAsia="Arial" w:hAnsiTheme="majorHAnsi" w:cs="Arial"/>
          <w:i/>
          <w:iCs/>
          <w:sz w:val="24"/>
          <w:szCs w:val="24"/>
          <w:u w:val="single" w:color="000000"/>
        </w:rPr>
      </w:pPr>
      <w:r w:rsidRPr="00A10DC8">
        <w:rPr>
          <w:rStyle w:val="Ninguno"/>
          <w:rFonts w:asciiTheme="majorHAnsi" w:hAnsiTheme="majorHAnsi" w:cs="Arial"/>
          <w:b/>
          <w:bCs/>
          <w:i/>
          <w:iCs/>
          <w:sz w:val="24"/>
          <w:szCs w:val="24"/>
          <w:u w:val="single" w:color="000000"/>
        </w:rPr>
        <w:t>PARÁGRAFO 1</w:t>
      </w:r>
      <w:r w:rsidRPr="00A10DC8">
        <w:rPr>
          <w:rStyle w:val="Ninguno"/>
          <w:rFonts w:asciiTheme="majorHAnsi" w:hAnsiTheme="majorHAnsi" w:cs="Arial"/>
          <w:i/>
          <w:iCs/>
          <w:sz w:val="24"/>
          <w:szCs w:val="24"/>
          <w:u w:val="single" w:color="000000"/>
        </w:rPr>
        <w:t>: En relación con las tecnologías en salud, las licencias de explotación de los bienes intangibles y derechos de propiedad intelectual que se negocien no podrá</w:t>
      </w:r>
      <w:r w:rsidRPr="00A10DC8">
        <w:rPr>
          <w:rStyle w:val="Ninguno"/>
          <w:rFonts w:asciiTheme="majorHAnsi" w:hAnsiTheme="majorHAnsi" w:cs="Arial"/>
          <w:i/>
          <w:iCs/>
          <w:sz w:val="24"/>
          <w:szCs w:val="24"/>
          <w:u w:val="single" w:color="000000"/>
          <w:lang w:val="pt-PT"/>
        </w:rPr>
        <w:t>n ser de car</w:t>
      </w:r>
      <w:r w:rsidRPr="00A10DC8">
        <w:rPr>
          <w:rStyle w:val="Ninguno"/>
          <w:rFonts w:asciiTheme="majorHAnsi" w:hAnsiTheme="majorHAnsi" w:cs="Arial"/>
          <w:i/>
          <w:iCs/>
          <w:sz w:val="24"/>
          <w:szCs w:val="24"/>
          <w:u w:val="single" w:color="000000"/>
        </w:rPr>
        <w:t>á</w:t>
      </w:r>
      <w:r w:rsidRPr="00A10DC8">
        <w:rPr>
          <w:rStyle w:val="Ninguno"/>
          <w:rFonts w:asciiTheme="majorHAnsi" w:hAnsiTheme="majorHAnsi" w:cs="Arial"/>
          <w:i/>
          <w:iCs/>
          <w:sz w:val="24"/>
          <w:szCs w:val="24"/>
          <w:u w:val="single" w:color="000000"/>
          <w:lang w:val="pt-PT"/>
        </w:rPr>
        <w:t>cter exclusivo</w:t>
      </w:r>
      <w:r w:rsidRPr="00A10DC8">
        <w:rPr>
          <w:rStyle w:val="Ninguno"/>
          <w:rFonts w:asciiTheme="majorHAnsi" w:hAnsiTheme="majorHAnsi" w:cs="Arial"/>
          <w:i/>
          <w:iCs/>
          <w:sz w:val="24"/>
          <w:szCs w:val="24"/>
          <w:u w:val="single" w:color="000000"/>
        </w:rPr>
        <w:t xml:space="preserve"> ni gratuito. Lo mismo aplicará en </w:t>
      </w:r>
      <w:proofErr w:type="spellStart"/>
      <w:r w:rsidRPr="00A10DC8">
        <w:rPr>
          <w:rStyle w:val="Ninguno"/>
          <w:rFonts w:asciiTheme="majorHAnsi" w:hAnsiTheme="majorHAnsi" w:cs="Arial"/>
          <w:i/>
          <w:iCs/>
          <w:sz w:val="24"/>
          <w:szCs w:val="24"/>
          <w:u w:val="single" w:color="000000"/>
        </w:rPr>
        <w:t>en</w:t>
      </w:r>
      <w:proofErr w:type="spellEnd"/>
      <w:r w:rsidRPr="00A10DC8">
        <w:rPr>
          <w:rStyle w:val="Ninguno"/>
          <w:rFonts w:asciiTheme="majorHAnsi" w:hAnsiTheme="majorHAnsi" w:cs="Arial"/>
          <w:i/>
          <w:iCs/>
          <w:sz w:val="24"/>
          <w:szCs w:val="24"/>
          <w:u w:val="single" w:color="000000"/>
        </w:rPr>
        <w:t xml:space="preserve"> los casos de proyectos de investigación y desarrollo de ciencia, </w:t>
      </w:r>
      <w:proofErr w:type="spellStart"/>
      <w:r w:rsidRPr="00A10DC8">
        <w:rPr>
          <w:rStyle w:val="Ninguno"/>
          <w:rFonts w:asciiTheme="majorHAnsi" w:hAnsiTheme="majorHAnsi" w:cs="Arial"/>
          <w:i/>
          <w:iCs/>
          <w:sz w:val="24"/>
          <w:szCs w:val="24"/>
          <w:u w:val="single" w:color="000000"/>
        </w:rPr>
        <w:t>tecnologí</w:t>
      </w:r>
      <w:proofErr w:type="spellEnd"/>
      <w:r w:rsidRPr="00A10DC8">
        <w:rPr>
          <w:rStyle w:val="Ninguno"/>
          <w:rFonts w:asciiTheme="majorHAnsi" w:hAnsiTheme="majorHAnsi" w:cs="Arial"/>
          <w:i/>
          <w:iCs/>
          <w:sz w:val="24"/>
          <w:szCs w:val="24"/>
          <w:u w:val="single" w:color="000000"/>
          <w:lang w:val="it-IT"/>
        </w:rPr>
        <w:t>a e innovaci</w:t>
      </w:r>
      <w:proofErr w:type="spellStart"/>
      <w:r w:rsidRPr="00A10DC8">
        <w:rPr>
          <w:rStyle w:val="Ninguno"/>
          <w:rFonts w:asciiTheme="majorHAnsi" w:hAnsiTheme="majorHAnsi" w:cs="Arial"/>
          <w:i/>
          <w:iCs/>
          <w:sz w:val="24"/>
          <w:szCs w:val="24"/>
          <w:u w:val="single" w:color="000000"/>
        </w:rPr>
        <w:t>ón</w:t>
      </w:r>
      <w:proofErr w:type="spellEnd"/>
      <w:r w:rsidRPr="00A10DC8">
        <w:rPr>
          <w:rStyle w:val="Ninguno"/>
          <w:rFonts w:asciiTheme="majorHAnsi" w:hAnsiTheme="majorHAnsi" w:cs="Arial"/>
          <w:i/>
          <w:iCs/>
          <w:sz w:val="24"/>
          <w:szCs w:val="24"/>
          <w:u w:val="single" w:color="000000"/>
        </w:rPr>
        <w:t xml:space="preserve"> sobre tecnologías en salud adelantados con recursos </w:t>
      </w:r>
      <w:proofErr w:type="spellStart"/>
      <w:r w:rsidRPr="00A10DC8">
        <w:rPr>
          <w:rStyle w:val="Ninguno"/>
          <w:rFonts w:asciiTheme="majorHAnsi" w:hAnsiTheme="majorHAnsi" w:cs="Arial"/>
          <w:i/>
          <w:iCs/>
          <w:sz w:val="24"/>
          <w:szCs w:val="24"/>
          <w:u w:val="single" w:color="000000"/>
        </w:rPr>
        <w:t>pú</w:t>
      </w:r>
      <w:proofErr w:type="spellEnd"/>
      <w:r w:rsidRPr="00A10DC8">
        <w:rPr>
          <w:rStyle w:val="Ninguno"/>
          <w:rFonts w:asciiTheme="majorHAnsi" w:hAnsiTheme="majorHAnsi" w:cs="Arial"/>
          <w:i/>
          <w:iCs/>
          <w:sz w:val="24"/>
          <w:szCs w:val="24"/>
          <w:u w:val="single" w:color="000000"/>
          <w:lang w:val="pt-PT"/>
        </w:rPr>
        <w:t>blico</w:t>
      </w:r>
      <w:r w:rsidRPr="00A10DC8">
        <w:rPr>
          <w:rStyle w:val="Ninguno"/>
          <w:rFonts w:asciiTheme="majorHAnsi" w:hAnsiTheme="majorHAnsi" w:cs="Arial"/>
          <w:i/>
          <w:iCs/>
          <w:sz w:val="24"/>
          <w:szCs w:val="24"/>
          <w:u w:val="single" w:color="000000"/>
        </w:rPr>
        <w:t xml:space="preserve">s. En estos casos, la titularidad de dichos bienes intangibles y derechos de propiedad intelectual recaerá siempre en cabeza de la entidad financiadora.   </w:t>
      </w:r>
    </w:p>
    <w:p w:rsidR="00AF02DF" w:rsidRPr="00A10DC8" w:rsidRDefault="00AF02DF" w:rsidP="00AF02DF">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Style w:val="Ninguno"/>
          <w:rFonts w:asciiTheme="majorHAnsi" w:eastAsia="Arial" w:hAnsiTheme="majorHAnsi" w:cs="Arial"/>
          <w:i/>
          <w:iCs/>
          <w:sz w:val="24"/>
          <w:szCs w:val="24"/>
          <w:u w:val="single" w:color="000000"/>
        </w:rPr>
      </w:pPr>
    </w:p>
    <w:p w:rsidR="00AF02DF" w:rsidRPr="00A10DC8" w:rsidRDefault="00AF02DF" w:rsidP="00AF02DF">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Style w:val="Ninguno"/>
          <w:rFonts w:asciiTheme="majorHAnsi" w:eastAsia="Arial" w:hAnsiTheme="majorHAnsi" w:cs="Arial"/>
          <w:i/>
          <w:iCs/>
          <w:sz w:val="24"/>
          <w:szCs w:val="24"/>
          <w:u w:color="000000"/>
        </w:rPr>
      </w:pPr>
      <w:r w:rsidRPr="00A10DC8">
        <w:rPr>
          <w:rStyle w:val="Ninguno"/>
          <w:rFonts w:asciiTheme="majorHAnsi" w:hAnsiTheme="majorHAnsi" w:cs="Arial"/>
          <w:b/>
          <w:bCs/>
          <w:i/>
          <w:iCs/>
          <w:sz w:val="24"/>
          <w:szCs w:val="24"/>
          <w:u w:color="000000"/>
        </w:rPr>
        <w:t xml:space="preserve">PARÁGRAFO </w:t>
      </w:r>
      <w:r w:rsidRPr="00A10DC8">
        <w:rPr>
          <w:rStyle w:val="Ninguno"/>
          <w:rFonts w:asciiTheme="majorHAnsi" w:hAnsiTheme="majorHAnsi" w:cs="Arial"/>
          <w:b/>
          <w:bCs/>
          <w:i/>
          <w:iCs/>
          <w:sz w:val="24"/>
          <w:szCs w:val="24"/>
          <w:u w:val="single" w:color="000000"/>
        </w:rPr>
        <w:t>2.</w:t>
      </w:r>
      <w:r w:rsidRPr="00A10DC8">
        <w:rPr>
          <w:rStyle w:val="Ninguno"/>
          <w:rFonts w:asciiTheme="majorHAnsi" w:hAnsiTheme="majorHAnsi" w:cs="Arial"/>
          <w:i/>
          <w:iCs/>
          <w:sz w:val="24"/>
          <w:szCs w:val="24"/>
          <w:u w:color="000000"/>
        </w:rPr>
        <w:t xml:space="preserve"> </w:t>
      </w:r>
      <w:r w:rsidR="00B81512">
        <w:rPr>
          <w:rStyle w:val="Ninguno"/>
          <w:rFonts w:asciiTheme="majorHAnsi" w:hAnsiTheme="majorHAnsi" w:cs="Arial"/>
          <w:i/>
          <w:iCs/>
          <w:sz w:val="24"/>
          <w:szCs w:val="24"/>
          <w:u w:color="000000"/>
        </w:rPr>
        <w:t>El Ministerio de Ciencia y Tecnologías y</w:t>
      </w:r>
      <w:r w:rsidRPr="00A10DC8">
        <w:rPr>
          <w:rStyle w:val="Ninguno"/>
          <w:rFonts w:asciiTheme="majorHAnsi" w:hAnsiTheme="majorHAnsi" w:cs="Arial"/>
          <w:i/>
          <w:iCs/>
          <w:sz w:val="24"/>
          <w:szCs w:val="24"/>
          <w:u w:color="000000"/>
        </w:rPr>
        <w:t xml:space="preserve"> el Departamento Nacional de Planeación, en el marco de la Comisión Intersectorial de Propiedad Intelectual, reglamentarán los instrumentos y mecanismos jurídicos y financieros necesarios que permitan la transferencia y/o comercialización de los bienes intangibles y derechos de propiedad intelectual de los cuales sea titular.</w:t>
      </w:r>
    </w:p>
    <w:p w:rsidR="00AF02DF" w:rsidRPr="00A10DC8" w:rsidRDefault="00AF02DF" w:rsidP="00AF02DF">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Style w:val="Ninguno"/>
          <w:rFonts w:asciiTheme="majorHAnsi" w:hAnsiTheme="majorHAnsi" w:cs="Arial"/>
          <w:i/>
          <w:iCs/>
          <w:sz w:val="24"/>
          <w:szCs w:val="24"/>
          <w:u w:color="000000"/>
        </w:rPr>
      </w:pPr>
    </w:p>
    <w:p w:rsidR="00AF02DF" w:rsidRPr="00A10DC8" w:rsidRDefault="00AF02DF" w:rsidP="00AF02DF">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Style w:val="Ninguno"/>
          <w:rFonts w:asciiTheme="majorHAnsi" w:hAnsiTheme="majorHAnsi" w:cs="Arial"/>
          <w:i/>
          <w:iCs/>
          <w:sz w:val="24"/>
          <w:szCs w:val="24"/>
          <w:u w:color="000000"/>
        </w:rPr>
      </w:pPr>
    </w:p>
    <w:p w:rsidR="00AF02DF" w:rsidRPr="00A10DC8" w:rsidRDefault="00A10DC8" w:rsidP="00AF02DF">
      <w:pPr>
        <w:pStyle w:val="Poromisin"/>
        <w:jc w:val="both"/>
        <w:rPr>
          <w:rFonts w:asciiTheme="majorHAnsi" w:eastAsia="Arial" w:hAnsiTheme="majorHAnsi" w:cs="Arial"/>
          <w:i/>
          <w:iCs/>
          <w:sz w:val="24"/>
          <w:szCs w:val="24"/>
          <w:shd w:val="clear" w:color="auto" w:fill="FFFFFF"/>
        </w:rPr>
      </w:pPr>
      <w:r w:rsidRPr="00A10DC8">
        <w:rPr>
          <w:rStyle w:val="Ninguno"/>
          <w:rFonts w:asciiTheme="majorHAnsi" w:hAnsiTheme="majorHAnsi" w:cs="Arial"/>
          <w:b/>
          <w:bCs/>
          <w:i/>
          <w:iCs/>
          <w:sz w:val="24"/>
          <w:szCs w:val="24"/>
          <w:shd w:val="clear" w:color="auto" w:fill="FFFFFF"/>
        </w:rPr>
        <w:t>Artículo 4°</w:t>
      </w:r>
      <w:r w:rsidR="00AF02DF" w:rsidRPr="00A10DC8">
        <w:rPr>
          <w:rStyle w:val="Ninguno"/>
          <w:rFonts w:asciiTheme="majorHAnsi" w:hAnsiTheme="majorHAnsi" w:cs="Arial"/>
          <w:b/>
          <w:bCs/>
          <w:i/>
          <w:iCs/>
          <w:sz w:val="24"/>
          <w:szCs w:val="24"/>
          <w:shd w:val="clear" w:color="auto" w:fill="FFFFFF"/>
        </w:rPr>
        <w:t xml:space="preserve">. ACUERDOS MARCO DE PRECIOS SOBRE TECNOLOGÍAS EN SALUD: </w:t>
      </w:r>
      <w:r w:rsidR="00AF02DF" w:rsidRPr="00A10DC8">
        <w:rPr>
          <w:rFonts w:asciiTheme="majorHAnsi" w:hAnsiTheme="majorHAnsi" w:cs="Arial"/>
          <w:i/>
          <w:iCs/>
          <w:sz w:val="24"/>
          <w:szCs w:val="24"/>
          <w:shd w:val="clear" w:color="auto" w:fill="FFFFFF"/>
        </w:rPr>
        <w:t xml:space="preserve">Colombia Compra Eficiente, con el apoyo del Ministerio de Salud y Protección Social, estructurará Acuerdos Marco de Precios o Instrumentos de Agregación de Demanda para tecnologías en salud. Las EPS y demás actores del Sistema General de Seguridad Social en Salud de cualquier régimen, incluidos los </w:t>
      </w:r>
      <w:proofErr w:type="spellStart"/>
      <w:r w:rsidR="00AF02DF" w:rsidRPr="00A10DC8">
        <w:rPr>
          <w:rFonts w:asciiTheme="majorHAnsi" w:hAnsiTheme="majorHAnsi" w:cs="Arial"/>
          <w:i/>
          <w:iCs/>
          <w:sz w:val="24"/>
          <w:szCs w:val="24"/>
          <w:shd w:val="clear" w:color="auto" w:fill="FFFFFF"/>
        </w:rPr>
        <w:t>los</w:t>
      </w:r>
      <w:proofErr w:type="spellEnd"/>
      <w:r w:rsidR="00AF02DF" w:rsidRPr="00A10DC8">
        <w:rPr>
          <w:rFonts w:asciiTheme="majorHAnsi" w:hAnsiTheme="majorHAnsi" w:cs="Arial"/>
          <w:i/>
          <w:iCs/>
          <w:sz w:val="24"/>
          <w:szCs w:val="24"/>
          <w:shd w:val="clear" w:color="auto" w:fill="FFFFFF"/>
        </w:rPr>
        <w:t xml:space="preserve"> regímenes especiales, estarán obligados a adquirirlas a través de dichos instrumentos. </w:t>
      </w:r>
    </w:p>
    <w:p w:rsidR="00AF02DF" w:rsidRPr="00A10DC8" w:rsidRDefault="00AF02DF" w:rsidP="00AF02DF">
      <w:pPr>
        <w:pStyle w:val="Poromisin"/>
        <w:jc w:val="both"/>
        <w:rPr>
          <w:rFonts w:asciiTheme="majorHAnsi" w:eastAsia="Arial" w:hAnsiTheme="majorHAnsi" w:cs="Arial"/>
          <w:i/>
          <w:iCs/>
          <w:sz w:val="24"/>
          <w:szCs w:val="24"/>
          <w:shd w:val="clear" w:color="auto" w:fill="FFFFFF"/>
        </w:rPr>
      </w:pPr>
    </w:p>
    <w:p w:rsidR="00AF02DF" w:rsidRPr="00A10DC8" w:rsidRDefault="00AF02DF" w:rsidP="00AF02DF">
      <w:pPr>
        <w:pStyle w:val="Poromisin"/>
        <w:jc w:val="both"/>
        <w:rPr>
          <w:rFonts w:asciiTheme="majorHAnsi" w:hAnsiTheme="majorHAnsi" w:cs="Arial"/>
          <w:i/>
          <w:iCs/>
          <w:sz w:val="24"/>
          <w:szCs w:val="24"/>
          <w:shd w:val="clear" w:color="auto" w:fill="FFFFFF"/>
        </w:rPr>
      </w:pPr>
      <w:r w:rsidRPr="00A10DC8">
        <w:rPr>
          <w:rFonts w:asciiTheme="majorHAnsi" w:hAnsiTheme="majorHAnsi" w:cs="Arial"/>
          <w:i/>
          <w:iCs/>
          <w:sz w:val="24"/>
          <w:szCs w:val="24"/>
          <w:shd w:val="clear" w:color="auto" w:fill="FFFFFF"/>
        </w:rPr>
        <w:t xml:space="preserve">En los casos en los que el Ministerio de Salud defina la conveniencia de una compra centralizada, deberá llevarla a cabo a través de un Acuerdo Marco de Precios o Instrumento de Agregación de Demanda estructurado de manera por Colombia Compra Eficiente con su apoyo. En esos casos, la ADRES estará facultada para actuar como pagadora en la operación secundaria.  </w:t>
      </w:r>
    </w:p>
    <w:p w:rsidR="00AF02DF" w:rsidRPr="00A10DC8" w:rsidRDefault="00AF02DF" w:rsidP="00AF02DF">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Style w:val="Ninguno"/>
          <w:rFonts w:asciiTheme="majorHAnsi" w:hAnsiTheme="majorHAnsi" w:cs="Arial"/>
          <w:i/>
          <w:iCs/>
          <w:sz w:val="24"/>
          <w:szCs w:val="24"/>
          <w:u w:color="000000"/>
        </w:rPr>
      </w:pPr>
    </w:p>
    <w:p w:rsidR="00AF02DF" w:rsidRPr="00A10DC8" w:rsidRDefault="00A10DC8" w:rsidP="00AF02DF">
      <w:pPr>
        <w:pStyle w:val="Poromisin"/>
        <w:jc w:val="both"/>
        <w:rPr>
          <w:rFonts w:asciiTheme="majorHAnsi" w:eastAsia="Arial" w:hAnsiTheme="majorHAnsi" w:cs="Arial"/>
          <w:i/>
          <w:iCs/>
          <w:sz w:val="24"/>
          <w:szCs w:val="24"/>
          <w:shd w:val="clear" w:color="auto" w:fill="FFFFFF"/>
        </w:rPr>
      </w:pPr>
      <w:proofErr w:type="spellStart"/>
      <w:r w:rsidRPr="00A10DC8">
        <w:rPr>
          <w:rFonts w:asciiTheme="majorHAnsi" w:hAnsiTheme="majorHAnsi" w:cs="Arial"/>
          <w:b/>
          <w:i/>
          <w:iCs/>
          <w:sz w:val="24"/>
          <w:szCs w:val="24"/>
          <w:shd w:val="clear" w:color="auto" w:fill="FFFFFF"/>
        </w:rPr>
        <w:t>Articulo</w:t>
      </w:r>
      <w:proofErr w:type="spellEnd"/>
      <w:r w:rsidRPr="00A10DC8">
        <w:rPr>
          <w:rFonts w:asciiTheme="majorHAnsi" w:hAnsiTheme="majorHAnsi" w:cs="Arial"/>
          <w:b/>
          <w:i/>
          <w:iCs/>
          <w:sz w:val="24"/>
          <w:szCs w:val="24"/>
          <w:shd w:val="clear" w:color="auto" w:fill="FFFFFF"/>
        </w:rPr>
        <w:t xml:space="preserve"> 5°.</w:t>
      </w:r>
      <w:r w:rsidRPr="00A10DC8">
        <w:rPr>
          <w:rFonts w:asciiTheme="majorHAnsi" w:hAnsiTheme="majorHAnsi" w:cs="Arial"/>
          <w:i/>
          <w:iCs/>
          <w:sz w:val="24"/>
          <w:szCs w:val="24"/>
          <w:shd w:val="clear" w:color="auto" w:fill="FFFFFF"/>
        </w:rPr>
        <w:t xml:space="preserve"> Modifíquese e</w:t>
      </w:r>
      <w:r w:rsidR="00AF02DF" w:rsidRPr="00A10DC8">
        <w:rPr>
          <w:rFonts w:asciiTheme="majorHAnsi" w:hAnsiTheme="majorHAnsi" w:cs="Arial"/>
          <w:i/>
          <w:iCs/>
          <w:sz w:val="24"/>
          <w:szCs w:val="24"/>
          <w:shd w:val="clear" w:color="auto" w:fill="FFFFFF"/>
        </w:rPr>
        <w:t>l artículo 116 de la ley 1438 de 2011</w:t>
      </w:r>
      <w:r w:rsidRPr="00A10DC8">
        <w:rPr>
          <w:rFonts w:asciiTheme="majorHAnsi" w:hAnsiTheme="majorHAnsi" w:cs="Arial"/>
          <w:i/>
          <w:iCs/>
          <w:sz w:val="24"/>
          <w:szCs w:val="24"/>
          <w:shd w:val="clear" w:color="auto" w:fill="FFFFFF"/>
        </w:rPr>
        <w:t>, el cual</w:t>
      </w:r>
      <w:r w:rsidR="00AF02DF" w:rsidRPr="00A10DC8">
        <w:rPr>
          <w:rFonts w:asciiTheme="majorHAnsi" w:hAnsiTheme="majorHAnsi" w:cs="Arial"/>
          <w:i/>
          <w:iCs/>
          <w:sz w:val="24"/>
          <w:szCs w:val="24"/>
          <w:shd w:val="clear" w:color="auto" w:fill="FFFFFF"/>
        </w:rPr>
        <w:t xml:space="preserve"> quedará así:</w:t>
      </w:r>
    </w:p>
    <w:p w:rsidR="00AF02DF" w:rsidRPr="00A10DC8" w:rsidRDefault="00AF02DF" w:rsidP="00AF02DF">
      <w:pPr>
        <w:pStyle w:val="Poromisin"/>
        <w:jc w:val="both"/>
        <w:rPr>
          <w:rFonts w:asciiTheme="majorHAnsi" w:eastAsia="Arial" w:hAnsiTheme="majorHAnsi" w:cs="Arial"/>
          <w:i/>
          <w:iCs/>
          <w:sz w:val="24"/>
          <w:szCs w:val="24"/>
          <w:shd w:val="clear" w:color="auto" w:fill="FFFFFF"/>
        </w:rPr>
      </w:pPr>
    </w:p>
    <w:p w:rsidR="00AF02DF" w:rsidRPr="00A10DC8" w:rsidRDefault="00AF02DF" w:rsidP="00AF02DF">
      <w:pPr>
        <w:pStyle w:val="Poromisin"/>
        <w:jc w:val="both"/>
        <w:rPr>
          <w:rStyle w:val="Ninguno"/>
          <w:rFonts w:asciiTheme="majorHAnsi" w:eastAsia="Arial" w:hAnsiTheme="majorHAnsi" w:cs="Arial"/>
          <w:i/>
          <w:iCs/>
          <w:sz w:val="24"/>
          <w:szCs w:val="24"/>
          <w:shd w:val="clear" w:color="auto" w:fill="FFFFFF"/>
        </w:rPr>
      </w:pPr>
      <w:r w:rsidRPr="00A10DC8">
        <w:rPr>
          <w:rFonts w:asciiTheme="majorHAnsi" w:hAnsiTheme="majorHAnsi" w:cs="Arial"/>
          <w:b/>
          <w:bCs/>
          <w:i/>
          <w:iCs/>
          <w:sz w:val="24"/>
          <w:szCs w:val="24"/>
          <w:shd w:val="clear" w:color="auto" w:fill="FFFFFF"/>
        </w:rPr>
        <w:t>“</w:t>
      </w:r>
      <w:r w:rsidRPr="00A10DC8">
        <w:rPr>
          <w:rFonts w:asciiTheme="majorHAnsi" w:hAnsiTheme="majorHAnsi" w:cs="Arial"/>
          <w:b/>
          <w:bCs/>
          <w:i/>
          <w:iCs/>
          <w:sz w:val="24"/>
          <w:szCs w:val="24"/>
          <w:shd w:val="clear" w:color="auto" w:fill="FFFFFF"/>
          <w:lang w:val="de-DE"/>
        </w:rPr>
        <w:t>ARTI</w:t>
      </w:r>
      <w:r w:rsidRPr="00A10DC8">
        <w:rPr>
          <w:rFonts w:asciiTheme="majorHAnsi" w:hAnsiTheme="majorHAnsi" w:cs="Arial"/>
          <w:b/>
          <w:bCs/>
          <w:i/>
          <w:iCs/>
          <w:sz w:val="24"/>
          <w:szCs w:val="24"/>
          <w:shd w:val="clear" w:color="auto" w:fill="FFFFFF"/>
        </w:rPr>
        <w:t>́CULO 116. SANCIONES POR LA NO PROVISIÓ</w:t>
      </w:r>
      <w:r w:rsidRPr="00A10DC8">
        <w:rPr>
          <w:rFonts w:asciiTheme="majorHAnsi" w:hAnsiTheme="majorHAnsi" w:cs="Arial"/>
          <w:b/>
          <w:bCs/>
          <w:i/>
          <w:iCs/>
          <w:sz w:val="24"/>
          <w:szCs w:val="24"/>
          <w:shd w:val="clear" w:color="auto" w:fill="FFFFFF"/>
          <w:lang w:val="de-DE"/>
        </w:rPr>
        <w:t>N DE INFORMACIO</w:t>
      </w:r>
      <w:r w:rsidRPr="00A10DC8">
        <w:rPr>
          <w:rFonts w:asciiTheme="majorHAnsi" w:hAnsiTheme="majorHAnsi" w:cs="Arial"/>
          <w:b/>
          <w:bCs/>
          <w:i/>
          <w:iCs/>
          <w:sz w:val="24"/>
          <w:szCs w:val="24"/>
          <w:shd w:val="clear" w:color="auto" w:fill="FFFFFF"/>
        </w:rPr>
        <w:t xml:space="preserve">́N. </w:t>
      </w:r>
      <w:r w:rsidRPr="00A10DC8">
        <w:rPr>
          <w:rStyle w:val="Ninguno"/>
          <w:rFonts w:asciiTheme="majorHAnsi" w:hAnsiTheme="majorHAnsi" w:cs="Arial"/>
          <w:i/>
          <w:iCs/>
          <w:sz w:val="24"/>
          <w:szCs w:val="24"/>
          <w:shd w:val="clear" w:color="auto" w:fill="FFFFFF"/>
        </w:rPr>
        <w:t xml:space="preserve">Los obligados a reportar que no cumplan con el reporte oportuno, confiable, suficiente y con la calidad </w:t>
      </w:r>
      <w:proofErr w:type="spellStart"/>
      <w:r w:rsidR="00A10DC8" w:rsidRPr="00A10DC8">
        <w:rPr>
          <w:rStyle w:val="Ninguno"/>
          <w:rFonts w:asciiTheme="majorHAnsi" w:hAnsiTheme="majorHAnsi" w:cs="Arial"/>
          <w:i/>
          <w:iCs/>
          <w:sz w:val="24"/>
          <w:szCs w:val="24"/>
          <w:shd w:val="clear" w:color="auto" w:fill="FFFFFF"/>
        </w:rPr>
        <w:t>mínima</w:t>
      </w:r>
      <w:proofErr w:type="spellEnd"/>
      <w:r w:rsidR="00A10DC8" w:rsidRPr="00A10DC8">
        <w:rPr>
          <w:rStyle w:val="Ninguno"/>
          <w:rFonts w:asciiTheme="majorHAnsi" w:hAnsiTheme="majorHAnsi" w:cs="Arial"/>
          <w:i/>
          <w:iCs/>
          <w:sz w:val="24"/>
          <w:szCs w:val="24"/>
          <w:shd w:val="clear" w:color="auto" w:fill="FFFFFF"/>
        </w:rPr>
        <w:t xml:space="preserve"> aceptable de la </w:t>
      </w:r>
      <w:proofErr w:type="spellStart"/>
      <w:r w:rsidR="00A10DC8" w:rsidRPr="00A10DC8">
        <w:rPr>
          <w:rStyle w:val="Ninguno"/>
          <w:rFonts w:asciiTheme="majorHAnsi" w:hAnsiTheme="majorHAnsi" w:cs="Arial"/>
          <w:i/>
          <w:iCs/>
          <w:sz w:val="24"/>
          <w:szCs w:val="24"/>
          <w:shd w:val="clear" w:color="auto" w:fill="FFFFFF"/>
        </w:rPr>
        <w:t>informaci</w:t>
      </w:r>
      <w:r w:rsidRPr="00A10DC8">
        <w:rPr>
          <w:rStyle w:val="Ninguno"/>
          <w:rFonts w:asciiTheme="majorHAnsi" w:hAnsiTheme="majorHAnsi" w:cs="Arial"/>
          <w:i/>
          <w:iCs/>
          <w:sz w:val="24"/>
          <w:szCs w:val="24"/>
          <w:shd w:val="clear" w:color="auto" w:fill="FFFFFF"/>
        </w:rPr>
        <w:t>ón</w:t>
      </w:r>
      <w:proofErr w:type="spellEnd"/>
      <w:r w:rsidRPr="00A10DC8">
        <w:rPr>
          <w:rStyle w:val="Ninguno"/>
          <w:rFonts w:asciiTheme="majorHAnsi" w:hAnsiTheme="majorHAnsi" w:cs="Arial"/>
          <w:i/>
          <w:iCs/>
          <w:sz w:val="24"/>
          <w:szCs w:val="24"/>
          <w:shd w:val="clear" w:color="auto" w:fill="FFFFFF"/>
        </w:rPr>
        <w:t xml:space="preserve"> necesaria para la </w:t>
      </w:r>
      <w:proofErr w:type="spellStart"/>
      <w:r w:rsidRPr="00A10DC8">
        <w:rPr>
          <w:rStyle w:val="Ninguno"/>
          <w:rFonts w:asciiTheme="majorHAnsi" w:hAnsiTheme="majorHAnsi" w:cs="Arial"/>
          <w:i/>
          <w:iCs/>
          <w:sz w:val="24"/>
          <w:szCs w:val="24"/>
          <w:shd w:val="clear" w:color="auto" w:fill="FFFFFF"/>
        </w:rPr>
        <w:t>operación</w:t>
      </w:r>
      <w:proofErr w:type="spellEnd"/>
      <w:r w:rsidRPr="00A10DC8">
        <w:rPr>
          <w:rStyle w:val="Ninguno"/>
          <w:rFonts w:asciiTheme="majorHAnsi" w:hAnsiTheme="majorHAnsi" w:cs="Arial"/>
          <w:i/>
          <w:iCs/>
          <w:sz w:val="24"/>
          <w:szCs w:val="24"/>
          <w:shd w:val="clear" w:color="auto" w:fill="FFFFFF"/>
        </w:rPr>
        <w:t xml:space="preserve"> del sistema de monitoreo, de los sistemas de </w:t>
      </w:r>
      <w:proofErr w:type="spellStart"/>
      <w:r w:rsidRPr="00A10DC8">
        <w:rPr>
          <w:rStyle w:val="Ninguno"/>
          <w:rFonts w:asciiTheme="majorHAnsi" w:hAnsiTheme="majorHAnsi" w:cs="Arial"/>
          <w:i/>
          <w:iCs/>
          <w:sz w:val="24"/>
          <w:szCs w:val="24"/>
          <w:shd w:val="clear" w:color="auto" w:fill="FFFFFF"/>
        </w:rPr>
        <w:t>información</w:t>
      </w:r>
      <w:proofErr w:type="spellEnd"/>
      <w:r w:rsidRPr="00A10DC8">
        <w:rPr>
          <w:rStyle w:val="Ninguno"/>
          <w:rFonts w:asciiTheme="majorHAnsi" w:hAnsiTheme="majorHAnsi" w:cs="Arial"/>
          <w:i/>
          <w:iCs/>
          <w:sz w:val="24"/>
          <w:szCs w:val="24"/>
          <w:shd w:val="clear" w:color="auto" w:fill="FFFFFF"/>
        </w:rPr>
        <w:t xml:space="preserve"> del sector salud, incluido el Registro de Transferencias de Valor, o de las prestaciones de salud (R</w:t>
      </w:r>
      <w:r w:rsidR="00A10DC8" w:rsidRPr="00A10DC8">
        <w:rPr>
          <w:rStyle w:val="Ninguno"/>
          <w:rFonts w:asciiTheme="majorHAnsi" w:hAnsiTheme="majorHAnsi" w:cs="Arial"/>
          <w:i/>
          <w:iCs/>
          <w:sz w:val="24"/>
          <w:szCs w:val="24"/>
          <w:shd w:val="clear" w:color="auto" w:fill="FFFFFF"/>
        </w:rPr>
        <w:t xml:space="preserve">egistros Individuales de </w:t>
      </w:r>
      <w:proofErr w:type="spellStart"/>
      <w:r w:rsidR="00A10DC8" w:rsidRPr="00A10DC8">
        <w:rPr>
          <w:rStyle w:val="Ninguno"/>
          <w:rFonts w:asciiTheme="majorHAnsi" w:hAnsiTheme="majorHAnsi" w:cs="Arial"/>
          <w:i/>
          <w:iCs/>
          <w:sz w:val="24"/>
          <w:szCs w:val="24"/>
          <w:shd w:val="clear" w:color="auto" w:fill="FFFFFF"/>
        </w:rPr>
        <w:lastRenderedPageBreak/>
        <w:t>Prestación</w:t>
      </w:r>
      <w:proofErr w:type="spellEnd"/>
      <w:r w:rsidR="00A10DC8" w:rsidRPr="00A10DC8">
        <w:rPr>
          <w:rStyle w:val="Ninguno"/>
          <w:rFonts w:asciiTheme="majorHAnsi" w:hAnsiTheme="majorHAnsi" w:cs="Arial"/>
          <w:i/>
          <w:iCs/>
          <w:sz w:val="24"/>
          <w:szCs w:val="24"/>
          <w:shd w:val="clear" w:color="auto" w:fill="FFFFFF"/>
        </w:rPr>
        <w:t xml:space="preserve"> de Servici</w:t>
      </w:r>
      <w:r w:rsidRPr="00A10DC8">
        <w:rPr>
          <w:rStyle w:val="Ninguno"/>
          <w:rFonts w:asciiTheme="majorHAnsi" w:hAnsiTheme="majorHAnsi" w:cs="Arial"/>
          <w:i/>
          <w:iCs/>
          <w:sz w:val="24"/>
          <w:szCs w:val="24"/>
          <w:shd w:val="clear" w:color="auto" w:fill="FFFFFF"/>
        </w:rPr>
        <w:t xml:space="preserve">os) </w:t>
      </w:r>
      <w:proofErr w:type="spellStart"/>
      <w:r w:rsidRPr="00A10DC8">
        <w:rPr>
          <w:rStyle w:val="Ninguno"/>
          <w:rFonts w:asciiTheme="majorHAnsi" w:hAnsiTheme="majorHAnsi" w:cs="Arial"/>
          <w:i/>
          <w:iCs/>
          <w:sz w:val="24"/>
          <w:szCs w:val="24"/>
          <w:shd w:val="clear" w:color="auto" w:fill="FFFFFF"/>
        </w:rPr>
        <w:t>serán</w:t>
      </w:r>
      <w:proofErr w:type="spellEnd"/>
      <w:r w:rsidRPr="00A10DC8">
        <w:rPr>
          <w:rStyle w:val="Ninguno"/>
          <w:rFonts w:asciiTheme="majorHAnsi" w:hAnsiTheme="majorHAnsi" w:cs="Arial"/>
          <w:i/>
          <w:iCs/>
          <w:sz w:val="24"/>
          <w:szCs w:val="24"/>
          <w:shd w:val="clear" w:color="auto" w:fill="FFFFFF"/>
        </w:rPr>
        <w:t xml:space="preserve"> sancionados por la Superintendencia Nacional de Salud con multas hasta de cinco mil salarios mínimos legales mensuales vigentes. En el caso de las Entidades Promotoras de Salud y prestadores de servicios de salud </w:t>
      </w:r>
      <w:proofErr w:type="spellStart"/>
      <w:r w:rsidRPr="00A10DC8">
        <w:rPr>
          <w:rStyle w:val="Ninguno"/>
          <w:rFonts w:asciiTheme="majorHAnsi" w:hAnsiTheme="majorHAnsi" w:cs="Arial"/>
          <w:i/>
          <w:iCs/>
          <w:sz w:val="24"/>
          <w:szCs w:val="24"/>
          <w:shd w:val="clear" w:color="auto" w:fill="FFFFFF"/>
        </w:rPr>
        <w:t>podra</w:t>
      </w:r>
      <w:proofErr w:type="spellEnd"/>
      <w:r w:rsidRPr="00A10DC8">
        <w:rPr>
          <w:rStyle w:val="Ninguno"/>
          <w:rFonts w:asciiTheme="majorHAnsi" w:hAnsiTheme="majorHAnsi" w:cs="Arial"/>
          <w:i/>
          <w:iCs/>
          <w:sz w:val="24"/>
          <w:szCs w:val="24"/>
          <w:shd w:val="clear" w:color="auto" w:fill="FFFFFF"/>
        </w:rPr>
        <w:t xml:space="preserve">́ dar lugar a la </w:t>
      </w:r>
      <w:proofErr w:type="spellStart"/>
      <w:r w:rsidRPr="00A10DC8">
        <w:rPr>
          <w:rStyle w:val="Ninguno"/>
          <w:rFonts w:asciiTheme="majorHAnsi" w:hAnsiTheme="majorHAnsi" w:cs="Arial"/>
          <w:i/>
          <w:iCs/>
          <w:sz w:val="24"/>
          <w:szCs w:val="24"/>
          <w:shd w:val="clear" w:color="auto" w:fill="FFFFFF"/>
        </w:rPr>
        <w:t>suspensión</w:t>
      </w:r>
      <w:proofErr w:type="spellEnd"/>
      <w:r w:rsidRPr="00A10DC8">
        <w:rPr>
          <w:rStyle w:val="Ninguno"/>
          <w:rFonts w:asciiTheme="majorHAnsi" w:hAnsiTheme="majorHAnsi" w:cs="Arial"/>
          <w:i/>
          <w:iCs/>
          <w:sz w:val="24"/>
          <w:szCs w:val="24"/>
          <w:shd w:val="clear" w:color="auto" w:fill="FFFFFF"/>
        </w:rPr>
        <w:t xml:space="preserve"> de giros,</w:t>
      </w:r>
      <w:r w:rsidR="00A10DC8" w:rsidRPr="00A10DC8">
        <w:rPr>
          <w:rStyle w:val="Ninguno"/>
          <w:rFonts w:asciiTheme="majorHAnsi" w:hAnsiTheme="majorHAnsi" w:cs="Arial"/>
          <w:i/>
          <w:iCs/>
          <w:sz w:val="24"/>
          <w:szCs w:val="24"/>
          <w:shd w:val="clear" w:color="auto" w:fill="FFFFFF"/>
        </w:rPr>
        <w:t xml:space="preserve"> la revocatoria de la </w:t>
      </w:r>
      <w:proofErr w:type="spellStart"/>
      <w:r w:rsidR="00A10DC8" w:rsidRPr="00A10DC8">
        <w:rPr>
          <w:rStyle w:val="Ninguno"/>
          <w:rFonts w:asciiTheme="majorHAnsi" w:hAnsiTheme="majorHAnsi" w:cs="Arial"/>
          <w:i/>
          <w:iCs/>
          <w:sz w:val="24"/>
          <w:szCs w:val="24"/>
          <w:shd w:val="clear" w:color="auto" w:fill="FFFFFF"/>
        </w:rPr>
        <w:t>certificaci</w:t>
      </w:r>
      <w:r w:rsidRPr="00A10DC8">
        <w:rPr>
          <w:rStyle w:val="Ninguno"/>
          <w:rFonts w:asciiTheme="majorHAnsi" w:hAnsiTheme="majorHAnsi" w:cs="Arial"/>
          <w:i/>
          <w:iCs/>
          <w:sz w:val="24"/>
          <w:szCs w:val="24"/>
          <w:shd w:val="clear" w:color="auto" w:fill="FFFFFF"/>
        </w:rPr>
        <w:t>ón</w:t>
      </w:r>
      <w:proofErr w:type="spellEnd"/>
      <w:r w:rsidRPr="00A10DC8">
        <w:rPr>
          <w:rStyle w:val="Ninguno"/>
          <w:rFonts w:asciiTheme="majorHAnsi" w:hAnsiTheme="majorHAnsi" w:cs="Arial"/>
          <w:i/>
          <w:iCs/>
          <w:sz w:val="24"/>
          <w:szCs w:val="24"/>
          <w:shd w:val="clear" w:color="auto" w:fill="FFFFFF"/>
        </w:rPr>
        <w:t xml:space="preserve"> de </w:t>
      </w:r>
      <w:proofErr w:type="spellStart"/>
      <w:r w:rsidRPr="00A10DC8">
        <w:rPr>
          <w:rStyle w:val="Ninguno"/>
          <w:rFonts w:asciiTheme="majorHAnsi" w:hAnsiTheme="majorHAnsi" w:cs="Arial"/>
          <w:i/>
          <w:iCs/>
          <w:sz w:val="24"/>
          <w:szCs w:val="24"/>
          <w:shd w:val="clear" w:color="auto" w:fill="FFFFFF"/>
        </w:rPr>
        <w:t>habilitación</w:t>
      </w:r>
      <w:proofErr w:type="spellEnd"/>
      <w:r w:rsidRPr="00A10DC8">
        <w:rPr>
          <w:rStyle w:val="Ninguno"/>
          <w:rFonts w:asciiTheme="majorHAnsi" w:hAnsiTheme="majorHAnsi" w:cs="Arial"/>
          <w:i/>
          <w:iCs/>
          <w:sz w:val="24"/>
          <w:szCs w:val="24"/>
          <w:shd w:val="clear" w:color="auto" w:fill="FFFFFF"/>
        </w:rPr>
        <w:t xml:space="preserve">. En el caso de los entes territoriales se notificará a la Superintendencia Nacional de Salud para que obre de acuerdo a su competencia.”  </w:t>
      </w:r>
    </w:p>
    <w:p w:rsidR="00AF02DF" w:rsidRPr="00A10DC8" w:rsidRDefault="00AF02DF" w:rsidP="00AF02DF">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Style w:val="Ninguno"/>
          <w:rFonts w:asciiTheme="majorHAnsi" w:hAnsiTheme="majorHAnsi" w:cs="Arial"/>
          <w:i/>
          <w:iCs/>
          <w:sz w:val="24"/>
          <w:szCs w:val="24"/>
          <w:u w:color="000000"/>
        </w:rPr>
      </w:pPr>
    </w:p>
    <w:p w:rsidR="00A10DC8" w:rsidRPr="00A10DC8" w:rsidRDefault="00A10DC8" w:rsidP="00A10DC8">
      <w:pPr>
        <w:jc w:val="both"/>
        <w:rPr>
          <w:rFonts w:asciiTheme="majorHAnsi" w:hAnsiTheme="majorHAnsi"/>
          <w:sz w:val="24"/>
          <w:szCs w:val="24"/>
        </w:rPr>
      </w:pPr>
      <w:r w:rsidRPr="00A10DC8">
        <w:rPr>
          <w:rFonts w:asciiTheme="majorHAnsi" w:hAnsiTheme="majorHAnsi" w:cs="Arial"/>
          <w:b/>
          <w:iCs/>
          <w:sz w:val="24"/>
          <w:szCs w:val="24"/>
          <w:shd w:val="clear" w:color="auto" w:fill="FFFFFF"/>
        </w:rPr>
        <w:t>A</w:t>
      </w:r>
      <w:r w:rsidR="00B81512">
        <w:rPr>
          <w:rFonts w:asciiTheme="majorHAnsi" w:hAnsiTheme="majorHAnsi" w:cs="Arial"/>
          <w:b/>
          <w:iCs/>
          <w:sz w:val="24"/>
          <w:szCs w:val="24"/>
          <w:shd w:val="clear" w:color="auto" w:fill="FFFFFF"/>
        </w:rPr>
        <w:t>rtículo 6</w:t>
      </w:r>
      <w:r w:rsidRPr="00A10DC8">
        <w:rPr>
          <w:rFonts w:asciiTheme="majorHAnsi" w:hAnsiTheme="majorHAnsi" w:cs="Arial"/>
          <w:b/>
          <w:iCs/>
          <w:sz w:val="24"/>
          <w:szCs w:val="24"/>
          <w:shd w:val="clear" w:color="auto" w:fill="FFFFFF"/>
        </w:rPr>
        <w:t xml:space="preserve">°. Vigencia y Derogatorias: </w:t>
      </w:r>
      <w:r w:rsidRPr="00A10DC8">
        <w:rPr>
          <w:rFonts w:asciiTheme="majorHAnsi" w:hAnsiTheme="majorHAnsi" w:cs="Arial"/>
          <w:iCs/>
          <w:sz w:val="24"/>
          <w:szCs w:val="24"/>
          <w:shd w:val="clear" w:color="auto" w:fill="FFFFFF"/>
        </w:rPr>
        <w:t>La presente ley rige a partir de la fecha de su publicación y deroga todas las disposiciones que le sean contrarias, especialmente el artículo 10 de la Ley 1753 de 2015.</w:t>
      </w:r>
    </w:p>
    <w:p w:rsidR="00AF02DF" w:rsidRDefault="00AF02DF" w:rsidP="00A10DC8">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Style w:val="Ninguno"/>
          <w:rFonts w:asciiTheme="majorHAnsi" w:hAnsiTheme="majorHAnsi" w:cs="Arial"/>
          <w:i/>
          <w:iCs/>
          <w:sz w:val="24"/>
          <w:szCs w:val="24"/>
          <w:u w:color="000000"/>
          <w:lang w:val="es-CO"/>
        </w:rPr>
      </w:pPr>
    </w:p>
    <w:p w:rsidR="00B05C4F" w:rsidRPr="00423CE3" w:rsidRDefault="00B05C4F" w:rsidP="00A10DC8">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Style w:val="Ninguno"/>
          <w:rFonts w:asciiTheme="majorHAnsi" w:hAnsiTheme="majorHAnsi" w:cs="Arial"/>
          <w:b/>
          <w:i/>
          <w:iCs/>
          <w:sz w:val="24"/>
          <w:szCs w:val="24"/>
          <w:u w:color="000000"/>
          <w:lang w:val="es-CO"/>
        </w:rPr>
      </w:pPr>
    </w:p>
    <w:p w:rsidR="002C45B1" w:rsidRDefault="002C45B1" w:rsidP="002C45B1">
      <w:pPr>
        <w:spacing w:after="120" w:line="240" w:lineRule="auto"/>
        <w:jc w:val="both"/>
        <w:rPr>
          <w:rFonts w:asciiTheme="majorHAnsi" w:hAnsiTheme="majorHAnsi"/>
          <w:sz w:val="24"/>
          <w:szCs w:val="24"/>
        </w:rPr>
      </w:pPr>
    </w:p>
    <w:p w:rsidR="002C45B1" w:rsidRPr="004A3B36" w:rsidRDefault="002C45B1" w:rsidP="002C45B1">
      <w:pPr>
        <w:spacing w:after="120" w:line="240" w:lineRule="auto"/>
        <w:jc w:val="both"/>
        <w:rPr>
          <w:rFonts w:asciiTheme="majorHAnsi" w:hAnsiTheme="majorHAnsi"/>
          <w:b/>
          <w:sz w:val="24"/>
          <w:szCs w:val="24"/>
        </w:rPr>
      </w:pPr>
      <w:r w:rsidRPr="004A3B36">
        <w:rPr>
          <w:rFonts w:asciiTheme="majorHAnsi" w:hAnsiTheme="majorHAnsi"/>
          <w:b/>
          <w:sz w:val="24"/>
          <w:szCs w:val="24"/>
        </w:rPr>
        <w:t>RICHARD AGUILAR VILLA</w:t>
      </w:r>
      <w:r w:rsidRPr="004A3B36">
        <w:rPr>
          <w:rFonts w:asciiTheme="majorHAnsi" w:hAnsiTheme="majorHAnsi"/>
          <w:b/>
          <w:sz w:val="24"/>
          <w:szCs w:val="24"/>
        </w:rPr>
        <w:tab/>
      </w:r>
      <w:r w:rsidRPr="004A3B36">
        <w:rPr>
          <w:rFonts w:asciiTheme="majorHAnsi" w:hAnsiTheme="majorHAnsi"/>
          <w:b/>
          <w:sz w:val="24"/>
          <w:szCs w:val="24"/>
        </w:rPr>
        <w:tab/>
      </w:r>
      <w:r w:rsidRPr="004A3B36">
        <w:rPr>
          <w:rFonts w:asciiTheme="majorHAnsi" w:hAnsiTheme="majorHAnsi"/>
          <w:b/>
          <w:sz w:val="24"/>
          <w:szCs w:val="24"/>
        </w:rPr>
        <w:tab/>
      </w:r>
      <w:r w:rsidRPr="004A3B36">
        <w:rPr>
          <w:rFonts w:asciiTheme="majorHAnsi" w:hAnsiTheme="majorHAnsi"/>
          <w:b/>
          <w:sz w:val="24"/>
          <w:szCs w:val="24"/>
        </w:rPr>
        <w:tab/>
        <w:t xml:space="preserve">RODRIGO LARA RESTREPO </w:t>
      </w:r>
    </w:p>
    <w:p w:rsidR="002C45B1" w:rsidRDefault="002C45B1" w:rsidP="002C45B1">
      <w:pPr>
        <w:spacing w:after="120" w:line="240" w:lineRule="auto"/>
        <w:jc w:val="both"/>
        <w:rPr>
          <w:rFonts w:asciiTheme="majorHAnsi" w:hAnsiTheme="majorHAnsi"/>
          <w:b/>
          <w:sz w:val="24"/>
          <w:szCs w:val="24"/>
        </w:rPr>
      </w:pPr>
      <w:r w:rsidRPr="004A3B36">
        <w:rPr>
          <w:rFonts w:asciiTheme="majorHAnsi" w:hAnsiTheme="majorHAnsi"/>
          <w:b/>
          <w:sz w:val="24"/>
          <w:szCs w:val="24"/>
        </w:rPr>
        <w:t xml:space="preserve">Senador de la República </w:t>
      </w:r>
      <w:r w:rsidRPr="004A3B36">
        <w:rPr>
          <w:rFonts w:asciiTheme="majorHAnsi" w:hAnsiTheme="majorHAnsi"/>
          <w:b/>
          <w:sz w:val="24"/>
          <w:szCs w:val="24"/>
        </w:rPr>
        <w:tab/>
      </w:r>
      <w:r w:rsidRPr="004A3B36">
        <w:rPr>
          <w:rFonts w:asciiTheme="majorHAnsi" w:hAnsiTheme="majorHAnsi"/>
          <w:b/>
          <w:sz w:val="24"/>
          <w:szCs w:val="24"/>
        </w:rPr>
        <w:tab/>
      </w:r>
      <w:r w:rsidRPr="004A3B36">
        <w:rPr>
          <w:rFonts w:asciiTheme="majorHAnsi" w:hAnsiTheme="majorHAnsi"/>
          <w:b/>
          <w:sz w:val="24"/>
          <w:szCs w:val="24"/>
        </w:rPr>
        <w:tab/>
      </w:r>
      <w:r w:rsidRPr="004A3B36">
        <w:rPr>
          <w:rFonts w:asciiTheme="majorHAnsi" w:hAnsiTheme="majorHAnsi"/>
          <w:b/>
          <w:sz w:val="24"/>
          <w:szCs w:val="24"/>
        </w:rPr>
        <w:tab/>
        <w:t>Senador de la República</w:t>
      </w:r>
    </w:p>
    <w:p w:rsidR="002C45B1" w:rsidRDefault="002C45B1" w:rsidP="002C45B1">
      <w:pPr>
        <w:spacing w:after="120" w:line="240" w:lineRule="auto"/>
        <w:jc w:val="both"/>
        <w:rPr>
          <w:rFonts w:asciiTheme="majorHAnsi" w:hAnsiTheme="majorHAnsi"/>
          <w:b/>
          <w:sz w:val="24"/>
          <w:szCs w:val="24"/>
        </w:rPr>
      </w:pPr>
    </w:p>
    <w:p w:rsidR="002C45B1" w:rsidRDefault="002C45B1" w:rsidP="002C45B1">
      <w:pPr>
        <w:spacing w:after="120" w:line="240" w:lineRule="auto"/>
        <w:jc w:val="both"/>
        <w:rPr>
          <w:rFonts w:asciiTheme="majorHAnsi" w:hAnsiTheme="majorHAnsi"/>
          <w:b/>
          <w:sz w:val="24"/>
          <w:szCs w:val="24"/>
        </w:rPr>
      </w:pPr>
    </w:p>
    <w:p w:rsidR="002C45B1" w:rsidRDefault="002C45B1" w:rsidP="002C45B1">
      <w:pPr>
        <w:spacing w:after="120" w:line="240" w:lineRule="auto"/>
        <w:jc w:val="both"/>
        <w:rPr>
          <w:rFonts w:asciiTheme="majorHAnsi" w:hAnsiTheme="majorHAnsi"/>
          <w:b/>
          <w:sz w:val="24"/>
          <w:szCs w:val="24"/>
        </w:rPr>
      </w:pPr>
    </w:p>
    <w:p w:rsidR="002C45B1" w:rsidRDefault="002C45B1" w:rsidP="002C45B1">
      <w:pPr>
        <w:spacing w:after="120" w:line="240" w:lineRule="auto"/>
        <w:jc w:val="center"/>
        <w:rPr>
          <w:rFonts w:asciiTheme="majorHAnsi" w:hAnsiTheme="majorHAnsi"/>
          <w:b/>
          <w:sz w:val="24"/>
          <w:szCs w:val="24"/>
        </w:rPr>
      </w:pPr>
      <w:r>
        <w:rPr>
          <w:rFonts w:asciiTheme="majorHAnsi" w:hAnsiTheme="majorHAnsi"/>
          <w:b/>
          <w:sz w:val="24"/>
          <w:szCs w:val="24"/>
        </w:rPr>
        <w:t>ANA MARIA CASTAÑEDA GOMEZ</w:t>
      </w:r>
    </w:p>
    <w:p w:rsidR="002C45B1" w:rsidRPr="004A3B36" w:rsidRDefault="002C45B1" w:rsidP="002C45B1">
      <w:pPr>
        <w:spacing w:after="120" w:line="240" w:lineRule="auto"/>
        <w:jc w:val="center"/>
        <w:rPr>
          <w:rFonts w:asciiTheme="majorHAnsi" w:hAnsiTheme="majorHAnsi"/>
          <w:b/>
          <w:sz w:val="24"/>
          <w:szCs w:val="24"/>
        </w:rPr>
      </w:pPr>
      <w:r>
        <w:rPr>
          <w:rFonts w:asciiTheme="majorHAnsi" w:hAnsiTheme="majorHAnsi"/>
          <w:b/>
          <w:sz w:val="24"/>
          <w:szCs w:val="24"/>
        </w:rPr>
        <w:t>Senadora de la República</w:t>
      </w:r>
    </w:p>
    <w:p w:rsidR="002C45B1" w:rsidRDefault="002C45B1">
      <w:pPr>
        <w:rPr>
          <w:rFonts w:asciiTheme="majorHAnsi" w:hAnsiTheme="majorHAnsi" w:cs="Calibri"/>
          <w:b/>
          <w:color w:val="000000"/>
          <w:sz w:val="24"/>
          <w:szCs w:val="24"/>
        </w:rPr>
      </w:pPr>
      <w:r>
        <w:rPr>
          <w:rFonts w:asciiTheme="majorHAnsi" w:hAnsiTheme="majorHAnsi"/>
          <w:b/>
        </w:rPr>
        <w:br w:type="page"/>
      </w:r>
    </w:p>
    <w:p w:rsidR="00FB0F43" w:rsidRDefault="00620A8B" w:rsidP="00620A8B">
      <w:pPr>
        <w:pStyle w:val="Default"/>
        <w:spacing w:after="240"/>
        <w:jc w:val="center"/>
        <w:rPr>
          <w:rFonts w:asciiTheme="majorHAnsi" w:hAnsiTheme="majorHAnsi"/>
          <w:b/>
        </w:rPr>
      </w:pPr>
      <w:r w:rsidRPr="00837E91">
        <w:rPr>
          <w:rFonts w:asciiTheme="majorHAnsi" w:hAnsiTheme="majorHAnsi"/>
          <w:b/>
        </w:rPr>
        <w:lastRenderedPageBreak/>
        <w:t>EXPOSICIÓN DE MOTIVOS</w:t>
      </w:r>
    </w:p>
    <w:p w:rsidR="00837E91" w:rsidRPr="00837E91" w:rsidRDefault="00837E91" w:rsidP="00620A8B">
      <w:pPr>
        <w:pStyle w:val="Default"/>
        <w:spacing w:after="240"/>
        <w:jc w:val="center"/>
        <w:rPr>
          <w:rFonts w:asciiTheme="majorHAnsi" w:hAnsiTheme="majorHAnsi"/>
          <w:b/>
        </w:rPr>
      </w:pPr>
    </w:p>
    <w:p w:rsidR="00FB0F43" w:rsidRDefault="00D242AA" w:rsidP="007A5739">
      <w:pPr>
        <w:pStyle w:val="Default"/>
        <w:jc w:val="both"/>
        <w:rPr>
          <w:rFonts w:asciiTheme="majorHAnsi" w:hAnsiTheme="majorHAnsi" w:cs="Segoe UI Emoji"/>
        </w:rPr>
      </w:pPr>
      <w:r>
        <w:rPr>
          <w:rFonts w:asciiTheme="majorHAnsi" w:hAnsiTheme="majorHAnsi"/>
        </w:rPr>
        <w:t>Teniendo en cuenta que la Escuela de Pensamiento de la Universidad Nacional – Centro de Pensamiento Medicamentos, Información y Poder, nos hizo llegar una i</w:t>
      </w:r>
      <w:r w:rsidR="00FB0F43" w:rsidRPr="00A10DC8">
        <w:rPr>
          <w:rFonts w:asciiTheme="majorHAnsi" w:hAnsiTheme="majorHAnsi" w:cs="Segoe UI Emoji"/>
        </w:rPr>
        <w:t>nvestigación</w:t>
      </w:r>
      <w:r w:rsidR="00FB0F43" w:rsidRPr="00A10DC8">
        <w:rPr>
          <w:rStyle w:val="Refdenotaalpie"/>
          <w:rFonts w:asciiTheme="majorHAnsi" w:hAnsiTheme="majorHAnsi" w:cs="Segoe UI Emoji"/>
        </w:rPr>
        <w:footnoteReference w:id="1"/>
      </w:r>
      <w:r>
        <w:rPr>
          <w:rFonts w:asciiTheme="majorHAnsi" w:hAnsiTheme="majorHAnsi" w:cs="Segoe UI Emoji"/>
        </w:rPr>
        <w:t xml:space="preserve"> sobre el acceso y uso óptimo de medicamentos y productos biomédicos, </w:t>
      </w:r>
      <w:r w:rsidR="007A5739">
        <w:rPr>
          <w:rFonts w:asciiTheme="majorHAnsi" w:hAnsiTheme="majorHAnsi" w:cs="Segoe UI Emoji"/>
        </w:rPr>
        <w:t xml:space="preserve">para proteger los derechos de autor de los docentes investigadores nos permitimos citar  su investigación, que se encuentra </w:t>
      </w:r>
      <w:r w:rsidR="007A5739" w:rsidRPr="007A5739">
        <w:rPr>
          <w:rFonts w:asciiTheme="majorHAnsi" w:hAnsiTheme="majorHAnsi" w:cs="Segoe UI Emoji"/>
        </w:rPr>
        <w:t>en Capítulo 4. Agenda en Salud 2018 p</w:t>
      </w:r>
      <w:r w:rsidR="007A5739" w:rsidRPr="007A5739">
        <w:rPr>
          <w:rFonts w:asciiTheme="majorHAnsi" w:hAnsiTheme="majorHAnsi"/>
          <w:i/>
          <w:iCs/>
        </w:rPr>
        <w:t xml:space="preserve">ara definir el rumbo del sector salud a los 25 años de la Ley 100. Disponible en </w:t>
      </w:r>
      <w:hyperlink r:id="rId9" w:history="1">
        <w:r w:rsidR="008614AC">
          <w:rPr>
            <w:rStyle w:val="Hipervnculo"/>
          </w:rPr>
          <w:t>https://sdbiblioteca.org/pdf/AgendaEnSalud2018.pdf</w:t>
        </w:r>
      </w:hyperlink>
      <w:r w:rsidR="008614AC" w:rsidRPr="007A5739">
        <w:rPr>
          <w:rFonts w:asciiTheme="majorHAnsi" w:hAnsiTheme="majorHAnsi" w:cs="Segoe UI Emoji"/>
        </w:rPr>
        <w:t xml:space="preserve"> </w:t>
      </w:r>
      <w:r w:rsidR="00837E91" w:rsidRPr="007A5739">
        <w:rPr>
          <w:rFonts w:asciiTheme="majorHAnsi" w:hAnsiTheme="majorHAnsi" w:cs="Segoe UI Emoji"/>
        </w:rPr>
        <w:t>y plasmarlo en la presente iniciativa, con la finalidad que pueda convertirse en</w:t>
      </w:r>
      <w:r w:rsidR="007A5739" w:rsidRPr="007A5739">
        <w:rPr>
          <w:rFonts w:asciiTheme="majorHAnsi" w:hAnsiTheme="majorHAnsi" w:cs="Segoe UI Emoji"/>
        </w:rPr>
        <w:t xml:space="preserve"> Ley de la República</w:t>
      </w:r>
      <w:r w:rsidR="007A5739">
        <w:rPr>
          <w:rFonts w:asciiTheme="majorHAnsi" w:hAnsiTheme="majorHAnsi" w:cs="Segoe UI Emoji"/>
        </w:rPr>
        <w:t>.</w:t>
      </w:r>
    </w:p>
    <w:p w:rsidR="007A5739" w:rsidRDefault="007A5739" w:rsidP="00620A8B">
      <w:pPr>
        <w:pStyle w:val="Default"/>
        <w:spacing w:after="240"/>
        <w:jc w:val="both"/>
        <w:rPr>
          <w:rFonts w:asciiTheme="majorHAnsi" w:hAnsiTheme="majorHAnsi" w:cs="Segoe UI Emoji"/>
          <w:b/>
        </w:rPr>
      </w:pPr>
    </w:p>
    <w:p w:rsidR="00837E91" w:rsidRPr="00837E91" w:rsidRDefault="00837E91" w:rsidP="00620A8B">
      <w:pPr>
        <w:pStyle w:val="Default"/>
        <w:spacing w:after="240"/>
        <w:jc w:val="both"/>
        <w:rPr>
          <w:rFonts w:asciiTheme="majorHAnsi" w:hAnsiTheme="majorHAnsi" w:cs="Segoe UI Emoji"/>
          <w:b/>
        </w:rPr>
      </w:pPr>
      <w:r w:rsidRPr="00837E91">
        <w:rPr>
          <w:rFonts w:asciiTheme="majorHAnsi" w:hAnsiTheme="majorHAnsi" w:cs="Segoe UI Emoji"/>
          <w:b/>
        </w:rPr>
        <w:t>CONSIDERACIONES:</w:t>
      </w:r>
    </w:p>
    <w:p w:rsidR="00FB0F43" w:rsidRPr="00A10DC8" w:rsidRDefault="00FB0F43" w:rsidP="00620A8B">
      <w:pPr>
        <w:pStyle w:val="Default"/>
        <w:spacing w:after="240"/>
        <w:jc w:val="both"/>
        <w:rPr>
          <w:rFonts w:asciiTheme="majorHAnsi" w:hAnsiTheme="majorHAnsi"/>
        </w:rPr>
      </w:pPr>
      <w:r w:rsidRPr="00A10DC8">
        <w:rPr>
          <w:rFonts w:asciiTheme="majorHAnsi" w:hAnsiTheme="majorHAnsi" w:cs="Segoe UI Emoji"/>
        </w:rPr>
        <w:t xml:space="preserve">En los últimos 8 años Colombia desarrolló un modelo de política de medicamentos que atiende recomendaciones y tendencias internacionales y a la vez es observado con interés por la comunidad internacional, dadas las innovaciones regulatorias emprendidas, en respuesta a la complejidad de su entorno. </w:t>
      </w:r>
    </w:p>
    <w:p w:rsidR="00FB0F43" w:rsidRPr="00A10DC8" w:rsidRDefault="00FB0F43" w:rsidP="00620A8B">
      <w:pPr>
        <w:pStyle w:val="Default"/>
        <w:spacing w:after="240"/>
        <w:jc w:val="both"/>
        <w:rPr>
          <w:rFonts w:asciiTheme="majorHAnsi" w:hAnsiTheme="majorHAnsi"/>
        </w:rPr>
      </w:pPr>
      <w:r w:rsidRPr="00A10DC8">
        <w:rPr>
          <w:rFonts w:asciiTheme="majorHAnsi" w:hAnsiTheme="majorHAnsi" w:cs="Segoe UI Emoji"/>
        </w:rPr>
        <w:t xml:space="preserve">Tomando en cuenta estos avances, pero también la necesidad de atender las necesidades aún insatisfechas en esta materia, en este capítulo se presentan una serie de propuestas que intentan responder a la pregunta general: </w:t>
      </w:r>
    </w:p>
    <w:p w:rsidR="00FB0F43" w:rsidRPr="00A10DC8" w:rsidRDefault="00FB0F43" w:rsidP="00620A8B">
      <w:pPr>
        <w:pStyle w:val="Default"/>
        <w:spacing w:after="240"/>
        <w:jc w:val="both"/>
        <w:rPr>
          <w:rFonts w:asciiTheme="majorHAnsi" w:hAnsiTheme="majorHAnsi" w:cs="Segoe UI Emoji"/>
        </w:rPr>
      </w:pPr>
      <w:r w:rsidRPr="00A10DC8">
        <w:rPr>
          <w:rFonts w:asciiTheme="majorHAnsi" w:hAnsiTheme="majorHAnsi" w:cs="Segoe UI Emoji"/>
        </w:rPr>
        <w:t xml:space="preserve">¿Cuáles son los problemas más relevantes que la ciudadanía enfrenta actualmente sobre el acceso a sus medicamentos y a la atención en salud? </w:t>
      </w:r>
    </w:p>
    <w:p w:rsidR="00FB0F43" w:rsidRPr="00A10DC8" w:rsidRDefault="00FB0F43" w:rsidP="00620A8B">
      <w:pPr>
        <w:pStyle w:val="Default"/>
        <w:spacing w:after="240"/>
        <w:jc w:val="both"/>
        <w:rPr>
          <w:rFonts w:asciiTheme="majorHAnsi" w:hAnsiTheme="majorHAnsi" w:cs="Segoe UI Emoji"/>
        </w:rPr>
      </w:pPr>
      <w:r w:rsidRPr="00A10DC8">
        <w:rPr>
          <w:rFonts w:asciiTheme="majorHAnsi" w:hAnsiTheme="majorHAnsi" w:cs="Segoe UI Emoji"/>
        </w:rPr>
        <w:t>La problemática identificada se sustenta en cifras y estudios publicados en la última década sobre la situación del acceso y los problemas de uso de medicamentos en el país y en evaluaciones a la política farmacéutica nacional</w:t>
      </w:r>
      <w:r w:rsidRPr="00A10DC8">
        <w:rPr>
          <w:rStyle w:val="Refdenotaalpie"/>
          <w:rFonts w:asciiTheme="majorHAnsi" w:hAnsiTheme="majorHAnsi" w:cs="Segoe UI Emoji"/>
        </w:rPr>
        <w:footnoteReference w:id="2"/>
      </w:r>
      <w:r w:rsidRPr="00A10DC8">
        <w:rPr>
          <w:rFonts w:asciiTheme="majorHAnsi" w:hAnsiTheme="majorHAnsi" w:cs="Segoe UI Emoji"/>
        </w:rPr>
        <w:t xml:space="preserve">. Cada iniciativa sugerida proviene de la revisión de aquellas intervenciones cuyo impacto se ha documentado en otros países o en Colombia. Si la iniciativa es innovadora se describe el racional que la motiva. </w:t>
      </w:r>
    </w:p>
    <w:p w:rsidR="00FB0F43" w:rsidRPr="00A10DC8" w:rsidRDefault="00FB0F43" w:rsidP="00620A8B">
      <w:pPr>
        <w:pStyle w:val="Default"/>
        <w:spacing w:after="240"/>
        <w:jc w:val="both"/>
        <w:rPr>
          <w:rFonts w:asciiTheme="majorHAnsi" w:hAnsiTheme="majorHAnsi" w:cs="Segoe UI Emoji"/>
        </w:rPr>
      </w:pPr>
      <w:r w:rsidRPr="00A10DC8">
        <w:rPr>
          <w:rFonts w:asciiTheme="majorHAnsi" w:hAnsiTheme="majorHAnsi" w:cs="Segoe UI Emoji"/>
        </w:rPr>
        <w:lastRenderedPageBreak/>
        <w:t xml:space="preserve">El paquete de sugerencias se desarrolla en el entendido de que, para el cumplimiento pleno del derecho a la salud, se requiere de una regulación robusta y consistente del mercado de medicamentos y la existencia de una política farmacéutica nacional coherente, basada en los principios de solidaridad, transparencia y promoción de la competencia; como lo establece la Ley Estatutaria en Salud. </w:t>
      </w:r>
    </w:p>
    <w:p w:rsidR="00FB0F43" w:rsidRPr="00A10DC8" w:rsidRDefault="00FB0F43" w:rsidP="00620A8B">
      <w:pPr>
        <w:pStyle w:val="Default"/>
        <w:spacing w:after="240"/>
        <w:jc w:val="both"/>
        <w:rPr>
          <w:rFonts w:asciiTheme="majorHAnsi" w:hAnsiTheme="majorHAnsi" w:cs="Segoe UI Emoji"/>
        </w:rPr>
      </w:pPr>
      <w:r w:rsidRPr="00A10DC8">
        <w:rPr>
          <w:rFonts w:asciiTheme="majorHAnsi" w:hAnsiTheme="majorHAnsi" w:cs="Segoe UI Emoji"/>
        </w:rPr>
        <w:t xml:space="preserve">Las propuestas se compilan en 4 grandes grupos: </w:t>
      </w:r>
    </w:p>
    <w:p w:rsidR="00FB0F43" w:rsidRPr="00A10DC8" w:rsidRDefault="00FB0F43" w:rsidP="00620A8B">
      <w:pPr>
        <w:pStyle w:val="Default"/>
        <w:spacing w:after="240"/>
        <w:jc w:val="both"/>
        <w:rPr>
          <w:rFonts w:asciiTheme="majorHAnsi" w:hAnsiTheme="majorHAnsi" w:cs="Segoe UI Emoji"/>
        </w:rPr>
      </w:pPr>
      <w:r w:rsidRPr="00A10DC8">
        <w:rPr>
          <w:rFonts w:asciiTheme="majorHAnsi" w:hAnsiTheme="majorHAnsi" w:cs="Segoe UI Emoji"/>
        </w:rPr>
        <w:t xml:space="preserve">1. Las medidas de regulación del mercado farmacéutico y promoción de la transparencia, que se titula “Medicamentos buenos y a buen precio”. </w:t>
      </w:r>
    </w:p>
    <w:p w:rsidR="00394484" w:rsidRPr="00A10DC8" w:rsidRDefault="00FB0F43" w:rsidP="00620A8B">
      <w:pPr>
        <w:pStyle w:val="Default"/>
        <w:spacing w:after="240"/>
        <w:jc w:val="both"/>
        <w:rPr>
          <w:rFonts w:asciiTheme="majorHAnsi" w:hAnsiTheme="majorHAnsi" w:cs="Segoe UI Emoji"/>
        </w:rPr>
      </w:pPr>
      <w:r w:rsidRPr="00A10DC8">
        <w:rPr>
          <w:rFonts w:asciiTheme="majorHAnsi" w:hAnsiTheme="majorHAnsi" w:cs="Segoe UI Emoji"/>
        </w:rPr>
        <w:t xml:space="preserve">2. Las estrategias orientadas a resolver la demanda insatisfecha en el sistema de salud, que se denomina “Entrega oportuna y completa de medicamentos”. </w:t>
      </w:r>
    </w:p>
    <w:p w:rsidR="00FB0F43" w:rsidRPr="00A10DC8" w:rsidRDefault="00FB0F43" w:rsidP="00620A8B">
      <w:pPr>
        <w:pStyle w:val="Default"/>
        <w:spacing w:after="240"/>
        <w:jc w:val="both"/>
        <w:rPr>
          <w:rFonts w:asciiTheme="majorHAnsi" w:hAnsiTheme="majorHAnsi" w:cs="Segoe UI Emoji"/>
        </w:rPr>
      </w:pPr>
      <w:r w:rsidRPr="00A10DC8">
        <w:rPr>
          <w:rFonts w:asciiTheme="majorHAnsi" w:hAnsiTheme="majorHAnsi" w:cs="Segoe UI Emoji"/>
        </w:rPr>
        <w:t xml:space="preserve">3. Las intervenciones e incentivos para promover la </w:t>
      </w:r>
      <w:proofErr w:type="spellStart"/>
      <w:r w:rsidRPr="00A10DC8">
        <w:rPr>
          <w:rFonts w:asciiTheme="majorHAnsi" w:hAnsiTheme="majorHAnsi" w:cs="Segoe UI Emoji"/>
        </w:rPr>
        <w:t>desmedicalización</w:t>
      </w:r>
      <w:proofErr w:type="spellEnd"/>
      <w:r w:rsidRPr="00A10DC8">
        <w:rPr>
          <w:rFonts w:asciiTheme="majorHAnsi" w:hAnsiTheme="majorHAnsi" w:cs="Segoe UI Emoji"/>
        </w:rPr>
        <w:t xml:space="preserve">, la protección del medio ambiente y para reducir la ineficiencia en el gasto público, descrita como "Uso óptimo de medicamentos y cero desperdicio" y </w:t>
      </w:r>
    </w:p>
    <w:p w:rsidR="00FB0F43" w:rsidRPr="00A10DC8" w:rsidRDefault="00FB0F43" w:rsidP="00620A8B">
      <w:pPr>
        <w:pStyle w:val="Default"/>
        <w:spacing w:after="240"/>
        <w:jc w:val="both"/>
        <w:rPr>
          <w:rFonts w:asciiTheme="majorHAnsi" w:hAnsiTheme="majorHAnsi" w:cs="Segoe UI Emoji"/>
        </w:rPr>
      </w:pPr>
      <w:r w:rsidRPr="00A10DC8">
        <w:rPr>
          <w:rFonts w:asciiTheme="majorHAnsi" w:hAnsiTheme="majorHAnsi" w:cs="Segoe UI Emoji"/>
        </w:rPr>
        <w:t xml:space="preserve">4. Las iniciativas asociadas a la promoción de la "Producción e investigación estratégica nacional". </w:t>
      </w:r>
    </w:p>
    <w:p w:rsidR="00FB0F43" w:rsidRPr="00A10DC8" w:rsidRDefault="00FB0F43" w:rsidP="00620A8B">
      <w:pPr>
        <w:pStyle w:val="Default"/>
        <w:spacing w:after="240"/>
        <w:jc w:val="both"/>
        <w:rPr>
          <w:rFonts w:asciiTheme="majorHAnsi" w:hAnsiTheme="majorHAnsi" w:cs="Segoe UI Emoji"/>
        </w:rPr>
      </w:pPr>
      <w:r w:rsidRPr="00A10DC8">
        <w:rPr>
          <w:rFonts w:asciiTheme="majorHAnsi" w:hAnsiTheme="majorHAnsi" w:cs="Segoe UI Emoji"/>
        </w:rPr>
        <w:t xml:space="preserve">Cada numeral presenta la problemática, cifras y estudios que lo sustentan y al final en un recuadro se describen las propuestas. </w:t>
      </w:r>
    </w:p>
    <w:p w:rsidR="00FB0F43" w:rsidRPr="00A10DC8" w:rsidRDefault="00FB0F43" w:rsidP="00620A8B">
      <w:pPr>
        <w:pStyle w:val="Default"/>
        <w:spacing w:after="240"/>
        <w:jc w:val="both"/>
        <w:rPr>
          <w:rFonts w:asciiTheme="majorHAnsi" w:hAnsiTheme="majorHAnsi" w:cs="Segoe UI Emoji"/>
        </w:rPr>
      </w:pPr>
      <w:r w:rsidRPr="00A10DC8">
        <w:rPr>
          <w:rFonts w:asciiTheme="majorHAnsi" w:hAnsiTheme="majorHAnsi" w:cs="Segoe UI Emoji"/>
        </w:rPr>
        <w:t xml:space="preserve">En cada apartado se describen las acciones regulatorias requeridas para que las iniciativas puedan ser desarrolladas, su grado de complejidad y una aproximación a la factibilidad de las propuestas en el corto y largo plazo. </w:t>
      </w:r>
    </w:p>
    <w:p w:rsidR="00FB0F43" w:rsidRPr="00A10DC8" w:rsidRDefault="00FB0F43" w:rsidP="00620A8B">
      <w:pPr>
        <w:pStyle w:val="Default"/>
        <w:spacing w:after="240"/>
        <w:jc w:val="both"/>
        <w:rPr>
          <w:rFonts w:asciiTheme="majorHAnsi" w:hAnsiTheme="majorHAnsi" w:cs="Segoe UI Emoji"/>
        </w:rPr>
      </w:pPr>
      <w:r w:rsidRPr="00A10DC8">
        <w:rPr>
          <w:rFonts w:asciiTheme="majorHAnsi" w:hAnsiTheme="majorHAnsi" w:cs="Segoe UI Emoji"/>
        </w:rPr>
        <w:t>1. “Medicamentos buenos y a buen precio</w:t>
      </w:r>
      <w:proofErr w:type="gramStart"/>
      <w:r w:rsidRPr="00A10DC8">
        <w:rPr>
          <w:rFonts w:asciiTheme="majorHAnsi" w:hAnsiTheme="majorHAnsi" w:cs="Segoe UI Emoji"/>
        </w:rPr>
        <w:t>" :</w:t>
      </w:r>
      <w:proofErr w:type="gramEnd"/>
      <w:r w:rsidRPr="00A10DC8">
        <w:rPr>
          <w:rFonts w:asciiTheme="majorHAnsi" w:hAnsiTheme="majorHAnsi" w:cs="Segoe UI Emoji"/>
        </w:rPr>
        <w:t xml:space="preserve"> Medidas de regulación del mercado farmacéutico y promoción de la transparencia. </w:t>
      </w:r>
    </w:p>
    <w:p w:rsidR="00FB0F43" w:rsidRPr="00A10DC8" w:rsidRDefault="00FB0F43" w:rsidP="00620A8B">
      <w:pPr>
        <w:pStyle w:val="Default"/>
        <w:spacing w:after="240"/>
        <w:jc w:val="both"/>
        <w:rPr>
          <w:rFonts w:asciiTheme="majorHAnsi" w:hAnsiTheme="majorHAnsi"/>
        </w:rPr>
      </w:pPr>
      <w:r w:rsidRPr="00A10DC8">
        <w:rPr>
          <w:rFonts w:asciiTheme="majorHAnsi" w:hAnsiTheme="majorHAnsi" w:cs="Segoe UI Emoji"/>
        </w:rPr>
        <w:t xml:space="preserve">En Colombia existe una preocupación por el aumento del gasto en salud y su sostenibilidad a largo plazo. Variables como el crecimiento demográfico, la carga epidemiológica y, especialmente, la disponibilidad creciente de innovaciones tecnológicas a precios elevados, se consideran variables relevantes, para que el Estado garantice el derecho a la salud. El diseño de políticas de farmacéuticas coherentes e integrales, que incorporen medidas de regulación del gasto tanto desde la oferta, como desde la demanda, son consideradas importantes para la gestión del gasto público. </w:t>
      </w:r>
    </w:p>
    <w:p w:rsidR="00FB0F43" w:rsidRPr="00A10DC8" w:rsidRDefault="00FB0F43" w:rsidP="00620A8B">
      <w:pPr>
        <w:pStyle w:val="Default"/>
        <w:spacing w:after="240"/>
        <w:jc w:val="both"/>
        <w:rPr>
          <w:rFonts w:asciiTheme="majorHAnsi" w:hAnsiTheme="majorHAnsi" w:cs="Segoe UI Emoji"/>
        </w:rPr>
      </w:pPr>
      <w:r w:rsidRPr="00A10DC8">
        <w:rPr>
          <w:rFonts w:asciiTheme="majorHAnsi" w:hAnsiTheme="majorHAnsi" w:cs="Segoe UI Emoji"/>
        </w:rPr>
        <w:t xml:space="preserve">En este punto se hacen recomendaciones orientadas a combinar medidas como la </w:t>
      </w:r>
      <w:proofErr w:type="spellStart"/>
      <w:r w:rsidRPr="00A10DC8">
        <w:rPr>
          <w:rFonts w:asciiTheme="majorHAnsi" w:hAnsiTheme="majorHAnsi" w:cs="Segoe UI Emoji"/>
        </w:rPr>
        <w:t>referenciación</w:t>
      </w:r>
      <w:proofErr w:type="spellEnd"/>
      <w:r w:rsidRPr="00A10DC8">
        <w:rPr>
          <w:rFonts w:asciiTheme="majorHAnsi" w:hAnsiTheme="majorHAnsi" w:cs="Segoe UI Emoji"/>
        </w:rPr>
        <w:t xml:space="preserve"> de precios, con la definición de precios con base en el aporte </w:t>
      </w:r>
      <w:r w:rsidRPr="00A10DC8">
        <w:rPr>
          <w:rFonts w:asciiTheme="majorHAnsi" w:hAnsiTheme="majorHAnsi" w:cs="Segoe UI Emoji"/>
        </w:rPr>
        <w:lastRenderedPageBreak/>
        <w:t xml:space="preserve">terapéutico de las innovaciones o con procesos centralizados de negociación y compra y de promoción del uso de medicamentos genéricos. </w:t>
      </w:r>
    </w:p>
    <w:p w:rsidR="00FB0F43" w:rsidRPr="00A10DC8" w:rsidRDefault="00FB0F43" w:rsidP="00620A8B">
      <w:pPr>
        <w:pStyle w:val="Default"/>
        <w:spacing w:after="240"/>
        <w:jc w:val="both"/>
        <w:rPr>
          <w:rFonts w:asciiTheme="majorHAnsi" w:hAnsiTheme="majorHAnsi"/>
        </w:rPr>
      </w:pPr>
      <w:r w:rsidRPr="00A10DC8">
        <w:rPr>
          <w:rFonts w:asciiTheme="majorHAnsi" w:hAnsiTheme="majorHAnsi" w:cs="Segoe UI Emoji"/>
        </w:rPr>
        <w:t>Problemática, cifras y estudios que sustentan este componente</w:t>
      </w:r>
      <w:r w:rsidR="004A3B36">
        <w:rPr>
          <w:rFonts w:asciiTheme="majorHAnsi" w:hAnsiTheme="majorHAnsi" w:cs="Segoe UI Emoji"/>
        </w:rPr>
        <w:t>:</w:t>
      </w:r>
      <w:r w:rsidRPr="00A10DC8">
        <w:rPr>
          <w:rFonts w:asciiTheme="majorHAnsi" w:hAnsiTheme="majorHAnsi" w:cs="Segoe UI Emoji"/>
        </w:rPr>
        <w:t xml:space="preserve"> </w:t>
      </w:r>
    </w:p>
    <w:p w:rsidR="00FB0F43" w:rsidRPr="00A10DC8" w:rsidRDefault="00FB0F43" w:rsidP="00620A8B">
      <w:pPr>
        <w:pStyle w:val="Default"/>
        <w:spacing w:after="240"/>
        <w:jc w:val="both"/>
        <w:rPr>
          <w:rFonts w:asciiTheme="majorHAnsi" w:hAnsiTheme="majorHAnsi"/>
        </w:rPr>
      </w:pPr>
      <w:r w:rsidRPr="00A10DC8">
        <w:rPr>
          <w:rFonts w:asciiTheme="majorHAnsi" w:hAnsiTheme="majorHAnsi" w:cs="Segoe UI Emoji"/>
        </w:rPr>
        <w:t>El gasto total estimado de medicamentos en Colombia, tanto público como privado, fue de alrededor de 15 billones de pesos en 2017 incluyendo costos de distribución y dispensación</w:t>
      </w:r>
      <w:r w:rsidRPr="00A10DC8">
        <w:rPr>
          <w:rStyle w:val="Refdenotaalpie"/>
          <w:rFonts w:asciiTheme="majorHAnsi" w:hAnsiTheme="majorHAnsi" w:cs="Segoe UI Emoji"/>
        </w:rPr>
        <w:footnoteReference w:id="3"/>
      </w:r>
      <w:r w:rsidRPr="00A10DC8">
        <w:rPr>
          <w:rFonts w:asciiTheme="majorHAnsi" w:hAnsiTheme="majorHAnsi" w:cs="Segoe UI Emoji"/>
        </w:rPr>
        <w:t xml:space="preserve"> Dicho gasto ha venido aumentando de forma constante a una tasa promedio anual de 10% desde 2007 y representa alrededor del 22% del gasto total en salud. Se estima que en 2015 el Sistema de Salud de Colombia destinó cerca de 4 billones al gasto en medicamentos, sin considerar el régimen subsidiado. </w:t>
      </w:r>
    </w:p>
    <w:p w:rsidR="00837E91" w:rsidRDefault="00FB0F43" w:rsidP="00620A8B">
      <w:pPr>
        <w:pStyle w:val="Default"/>
        <w:spacing w:after="240"/>
        <w:jc w:val="both"/>
        <w:rPr>
          <w:rFonts w:asciiTheme="majorHAnsi" w:hAnsiTheme="majorHAnsi" w:cs="Segoe UI Emoji"/>
        </w:rPr>
      </w:pPr>
      <w:r w:rsidRPr="00A10DC8">
        <w:rPr>
          <w:rFonts w:asciiTheme="majorHAnsi" w:hAnsiTheme="majorHAnsi"/>
        </w:rPr>
        <w:t xml:space="preserve"> </w:t>
      </w:r>
      <w:r w:rsidRPr="00A10DC8">
        <w:rPr>
          <w:rFonts w:asciiTheme="majorHAnsi" w:hAnsiTheme="majorHAnsi" w:cs="Segoe UI Emoji"/>
        </w:rPr>
        <w:t>De estos 4 billones cerca del 50% corresponde a medicamentos que no están incluidos en el plan de beneficios (conocido como POS), y que se pagan de forma centralizada con recursos públicos a través de la Administradora de los recursos del Sistema de Seguridad Social en Salud –ADRES-. Algunos de estos medicamentos No POS, aún no se comercializan en el país y son denominados “Medicamentos Vitales No Disponibles”, también son pagados con recursos públicos</w:t>
      </w:r>
      <w:r w:rsidR="00423CE3">
        <w:rPr>
          <w:rFonts w:asciiTheme="majorHAnsi" w:hAnsiTheme="majorHAnsi" w:cs="Segoe UI Emoji"/>
        </w:rPr>
        <w:t>.</w:t>
      </w:r>
    </w:p>
    <w:p w:rsidR="00FB0F43" w:rsidRPr="00A10DC8" w:rsidRDefault="00837E91" w:rsidP="00620A8B">
      <w:pPr>
        <w:pStyle w:val="Default"/>
        <w:pageBreakBefore/>
        <w:spacing w:after="240"/>
        <w:jc w:val="both"/>
        <w:rPr>
          <w:rFonts w:asciiTheme="majorHAnsi" w:hAnsiTheme="majorHAnsi" w:cs="Segoe UI Emoji"/>
        </w:rPr>
      </w:pPr>
      <w:r>
        <w:rPr>
          <w:rFonts w:asciiTheme="majorHAnsi" w:hAnsiTheme="majorHAnsi" w:cs="Segoe UI Emoji"/>
        </w:rPr>
        <w:lastRenderedPageBreak/>
        <w:t>P</w:t>
      </w:r>
      <w:r w:rsidR="00FB0F43" w:rsidRPr="00A10DC8">
        <w:rPr>
          <w:rFonts w:asciiTheme="majorHAnsi" w:hAnsiTheme="majorHAnsi" w:cs="Segoe UI Emoji"/>
        </w:rPr>
        <w:t xml:space="preserve">osiblemente los recursos que el Sistema de Salud dedica a los medicamentos aumenten cada vez más en la medida que la implementación de la Ley Estatutaria en Salud de 2015 facilita la prescripción de medicamentos que no están incluidos en el POS. </w:t>
      </w:r>
    </w:p>
    <w:p w:rsidR="00250428" w:rsidRPr="00A10DC8" w:rsidRDefault="00250428" w:rsidP="00620A8B">
      <w:pPr>
        <w:pStyle w:val="Default"/>
        <w:spacing w:after="240"/>
        <w:ind w:left="851" w:right="1183"/>
        <w:jc w:val="both"/>
        <w:rPr>
          <w:rFonts w:asciiTheme="majorHAnsi" w:hAnsiTheme="majorHAnsi" w:cs="Segoe UI Emoji"/>
        </w:rPr>
      </w:pPr>
    </w:p>
    <w:p w:rsidR="00FB0F43" w:rsidRPr="00A10DC8" w:rsidRDefault="00FB0F43" w:rsidP="00620A8B">
      <w:pPr>
        <w:pStyle w:val="Default"/>
        <w:spacing w:after="240"/>
        <w:ind w:left="851" w:right="1183"/>
        <w:jc w:val="both"/>
        <w:rPr>
          <w:rFonts w:asciiTheme="majorHAnsi" w:hAnsiTheme="majorHAnsi"/>
        </w:rPr>
      </w:pPr>
      <w:r w:rsidRPr="00A10DC8">
        <w:rPr>
          <w:rFonts w:asciiTheme="majorHAnsi" w:hAnsiTheme="majorHAnsi" w:cs="Segoe UI Emoji"/>
        </w:rPr>
        <w:t xml:space="preserve">Un buen número de Medicamentos Vitales No Disponibles se usan para enfermedades huérfanas o de alto costo. Por ejemplo, la </w:t>
      </w:r>
      <w:proofErr w:type="spellStart"/>
      <w:r w:rsidRPr="00A10DC8">
        <w:rPr>
          <w:rFonts w:asciiTheme="majorHAnsi" w:hAnsiTheme="majorHAnsi" w:cs="Segoe UI Emoji"/>
        </w:rPr>
        <w:t>Elosulfasa</w:t>
      </w:r>
      <w:proofErr w:type="spellEnd"/>
      <w:r w:rsidRPr="00A10DC8">
        <w:rPr>
          <w:rFonts w:asciiTheme="majorHAnsi" w:hAnsiTheme="majorHAnsi" w:cs="Segoe UI Emoji"/>
        </w:rPr>
        <w:t xml:space="preserve"> Alfa, un medicamento indicado para tratar el síndrome de </w:t>
      </w:r>
      <w:proofErr w:type="spellStart"/>
      <w:r w:rsidRPr="00A10DC8">
        <w:rPr>
          <w:rFonts w:asciiTheme="majorHAnsi" w:hAnsiTheme="majorHAnsi" w:cs="Segoe UI Emoji"/>
        </w:rPr>
        <w:t>Morquio</w:t>
      </w:r>
      <w:proofErr w:type="spellEnd"/>
      <w:r w:rsidRPr="00A10DC8">
        <w:rPr>
          <w:rFonts w:asciiTheme="majorHAnsi" w:hAnsiTheme="majorHAnsi" w:cs="Segoe UI Emoji"/>
        </w:rPr>
        <w:t>, considerada una enfermedad ultra huérfana, se importó bajo la modalidad de “Vital No Disponible” en 2014 y el Sistema de Salud lo pagó a 5 millones de pesos el vial (el doble de su precio de compra). En promedio, el valor pagado por paciente al año fue de $1.600 millones</w:t>
      </w:r>
      <w:r w:rsidR="00250428" w:rsidRPr="00A10DC8">
        <w:rPr>
          <w:rStyle w:val="Refdenotaalpie"/>
          <w:rFonts w:asciiTheme="majorHAnsi" w:hAnsiTheme="majorHAnsi" w:cs="Segoe UI Emoji"/>
        </w:rPr>
        <w:footnoteReference w:id="4"/>
      </w:r>
      <w:r w:rsidRPr="00A10DC8">
        <w:rPr>
          <w:rFonts w:asciiTheme="majorHAnsi" w:hAnsiTheme="majorHAnsi" w:cs="Segoe UI Emoji"/>
        </w:rPr>
        <w:t xml:space="preserve">. Esta misma situación sucedió con medicamentos como </w:t>
      </w:r>
      <w:proofErr w:type="spellStart"/>
      <w:r w:rsidRPr="00A10DC8">
        <w:rPr>
          <w:rFonts w:asciiTheme="majorHAnsi" w:hAnsiTheme="majorHAnsi" w:cs="Segoe UI Emoji"/>
        </w:rPr>
        <w:t>Agalsidasa</w:t>
      </w:r>
      <w:proofErr w:type="spellEnd"/>
      <w:r w:rsidRPr="00A10DC8">
        <w:rPr>
          <w:rFonts w:asciiTheme="majorHAnsi" w:hAnsiTheme="majorHAnsi" w:cs="Segoe UI Emoji"/>
        </w:rPr>
        <w:t xml:space="preserve"> Alfa ($2,9 millones por vial) o </w:t>
      </w:r>
      <w:proofErr w:type="spellStart"/>
      <w:r w:rsidRPr="00A10DC8">
        <w:rPr>
          <w:rFonts w:asciiTheme="majorHAnsi" w:hAnsiTheme="majorHAnsi" w:cs="Segoe UI Emoji"/>
        </w:rPr>
        <w:t>Lomitapida</w:t>
      </w:r>
      <w:proofErr w:type="spellEnd"/>
      <w:r w:rsidRPr="00A10DC8">
        <w:rPr>
          <w:rFonts w:asciiTheme="majorHAnsi" w:hAnsiTheme="majorHAnsi" w:cs="Segoe UI Emoji"/>
        </w:rPr>
        <w:t xml:space="preserve"> ($117 millones caja por 28 tabletas), que entraron en algún momento como vitales no disponibles</w:t>
      </w:r>
      <w:r w:rsidR="00250428" w:rsidRPr="00A10DC8">
        <w:rPr>
          <w:rStyle w:val="Refdenotaalpie"/>
          <w:rFonts w:asciiTheme="majorHAnsi" w:hAnsiTheme="majorHAnsi" w:cs="Segoe UI Emoji"/>
        </w:rPr>
        <w:footnoteReference w:id="5"/>
      </w:r>
      <w:r w:rsidRPr="00A10DC8">
        <w:rPr>
          <w:rFonts w:asciiTheme="majorHAnsi" w:hAnsiTheme="majorHAnsi" w:cs="Segoe UI Emoji"/>
        </w:rPr>
        <w:t xml:space="preserve">. </w:t>
      </w:r>
    </w:p>
    <w:p w:rsidR="00250428" w:rsidRPr="00A10DC8" w:rsidRDefault="00250428" w:rsidP="00620A8B">
      <w:pPr>
        <w:pStyle w:val="Default"/>
        <w:spacing w:after="240"/>
        <w:jc w:val="both"/>
        <w:rPr>
          <w:rFonts w:asciiTheme="majorHAnsi" w:hAnsiTheme="majorHAnsi" w:cs="Segoe UI Emoji"/>
        </w:rPr>
      </w:pPr>
    </w:p>
    <w:p w:rsidR="00FB0F43" w:rsidRPr="00A10DC8" w:rsidRDefault="00FB0F43" w:rsidP="00620A8B">
      <w:pPr>
        <w:pStyle w:val="Default"/>
        <w:spacing w:after="240"/>
        <w:jc w:val="both"/>
        <w:rPr>
          <w:rFonts w:asciiTheme="majorHAnsi" w:hAnsiTheme="majorHAnsi"/>
        </w:rPr>
      </w:pPr>
      <w:r w:rsidRPr="00A10DC8">
        <w:rPr>
          <w:rFonts w:asciiTheme="majorHAnsi" w:hAnsiTheme="majorHAnsi" w:cs="Segoe UI Emoji"/>
        </w:rPr>
        <w:t xml:space="preserve">Para controlar el gasto en medicamentos, Colombia ha venido implementando una política de regulación de precios basados en </w:t>
      </w:r>
      <w:proofErr w:type="spellStart"/>
      <w:r w:rsidRPr="00A10DC8">
        <w:rPr>
          <w:rFonts w:asciiTheme="majorHAnsi" w:hAnsiTheme="majorHAnsi" w:cs="Segoe UI Emoji"/>
        </w:rPr>
        <w:t>referenciación</w:t>
      </w:r>
      <w:proofErr w:type="spellEnd"/>
      <w:r w:rsidRPr="00A10DC8">
        <w:rPr>
          <w:rFonts w:asciiTheme="majorHAnsi" w:hAnsiTheme="majorHAnsi" w:cs="Segoe UI Emoji"/>
        </w:rPr>
        <w:t xml:space="preserve"> internacional que ha logrado una reducción promedio de 41.7% en los precios de los productos regulados</w:t>
      </w:r>
      <w:r w:rsidR="00250428" w:rsidRPr="00A10DC8">
        <w:rPr>
          <w:rStyle w:val="Refdenotaalpie"/>
          <w:rFonts w:asciiTheme="majorHAnsi" w:hAnsiTheme="majorHAnsi" w:cs="Segoe UI Emoji"/>
        </w:rPr>
        <w:footnoteReference w:id="6"/>
      </w:r>
      <w:r w:rsidRPr="00A10DC8">
        <w:rPr>
          <w:rFonts w:asciiTheme="majorHAnsi" w:hAnsiTheme="majorHAnsi" w:cs="Segoe UI Emoji"/>
        </w:rPr>
        <w:t xml:space="preserve">. Sin embargo, esa regulación comienza a operar solamente cuando los productos ya están siendo transados en el mercado y ya representan un porcentaje importante del gasto público en medicamentos. Adicionalmente, dicha regulación no evalúa el valor terapéutico agregado que los medicamentos nuevos representan para el país. Es importante que Colombia pague precios justos desde un principio, antes de la comercialización de los medicamentos y que esos precios sean proporcionales al aporte terapéutico de las nuevas tecnologías, frente a las ya disponibles. Es decir que no se pague más por lo mismo. </w:t>
      </w:r>
    </w:p>
    <w:p w:rsidR="00250428" w:rsidRPr="00A10DC8" w:rsidRDefault="00FB0F43" w:rsidP="00620A8B">
      <w:pPr>
        <w:pStyle w:val="Default"/>
        <w:spacing w:after="240"/>
        <w:jc w:val="both"/>
        <w:rPr>
          <w:rFonts w:asciiTheme="majorHAnsi" w:hAnsiTheme="majorHAnsi" w:cs="Segoe UI Emoji"/>
        </w:rPr>
      </w:pPr>
      <w:r w:rsidRPr="00A10DC8">
        <w:rPr>
          <w:rFonts w:asciiTheme="majorHAnsi" w:hAnsiTheme="majorHAnsi" w:cs="Segoe UI Emoji"/>
        </w:rPr>
        <w:t xml:space="preserve">La factibilidad del establecimiento de un precio, basado en el aporte terapéutico antes de su comercialización en el país, es alta pues es una iniciativa utilizada en otros países como Brasil y muchos países europeos (aunque en estos países no se vincula al registro sanitario). Además, ya fue incorporada en el plan de desarrollo 2014-2018 y superó las demandas de constitucionalidad interpuestas por los laboratorios </w:t>
      </w:r>
      <w:r w:rsidRPr="00A10DC8">
        <w:rPr>
          <w:rFonts w:asciiTheme="majorHAnsi" w:hAnsiTheme="majorHAnsi" w:cs="Segoe UI Emoji"/>
        </w:rPr>
        <w:lastRenderedPageBreak/>
        <w:t>farmacéuticos</w:t>
      </w:r>
      <w:r w:rsidR="00250428" w:rsidRPr="00A10DC8">
        <w:rPr>
          <w:rStyle w:val="Refdenotaalpie"/>
          <w:rFonts w:asciiTheme="majorHAnsi" w:hAnsiTheme="majorHAnsi" w:cs="Segoe UI Emoji"/>
        </w:rPr>
        <w:footnoteReference w:id="7"/>
      </w:r>
      <w:proofErr w:type="gramStart"/>
      <w:r w:rsidR="00250428" w:rsidRPr="00A10DC8">
        <w:rPr>
          <w:rFonts w:asciiTheme="majorHAnsi" w:hAnsiTheme="majorHAnsi" w:cs="Segoe UI Emoji"/>
        </w:rPr>
        <w:t>,</w:t>
      </w:r>
      <w:r w:rsidR="00250428" w:rsidRPr="00A10DC8">
        <w:rPr>
          <w:rStyle w:val="Refdenotaalpie"/>
          <w:rFonts w:asciiTheme="majorHAnsi" w:hAnsiTheme="majorHAnsi" w:cs="Segoe UI Emoji"/>
        </w:rPr>
        <w:footnoteReference w:id="8"/>
      </w:r>
      <w:r w:rsidRPr="00A10DC8">
        <w:rPr>
          <w:rFonts w:asciiTheme="majorHAnsi" w:hAnsiTheme="majorHAnsi" w:cs="Segoe UI Emoji"/>
        </w:rPr>
        <w:t>.</w:t>
      </w:r>
      <w:proofErr w:type="gramEnd"/>
      <w:r w:rsidRPr="00A10DC8">
        <w:rPr>
          <w:rFonts w:asciiTheme="majorHAnsi" w:hAnsiTheme="majorHAnsi" w:cs="Segoe UI Emoji"/>
        </w:rPr>
        <w:t xml:space="preserve"> Sin embargo, su aplicación depende de la reglamentación y metodología detallada que emita la Comisión Nacional de Precios de Medicamentos y Dispositivos Médicos (CNPMDM), de las capacidades institucionales de las entidades que participarían en el proceso (INVIMA, CNPMDM, IETS) y, especialmente, de las capacidades de coordinación y rectoría del Ministerio de Salud y Protección Social. </w:t>
      </w:r>
    </w:p>
    <w:p w:rsidR="00FB0F43" w:rsidRPr="00A10DC8" w:rsidRDefault="00FB0F43" w:rsidP="00620A8B">
      <w:pPr>
        <w:pStyle w:val="Default"/>
        <w:spacing w:after="240"/>
        <w:jc w:val="both"/>
        <w:rPr>
          <w:rFonts w:asciiTheme="majorHAnsi" w:hAnsiTheme="majorHAnsi" w:cs="Segoe UI Emoji"/>
        </w:rPr>
      </w:pPr>
      <w:r w:rsidRPr="00A10DC8">
        <w:rPr>
          <w:rFonts w:asciiTheme="majorHAnsi" w:hAnsiTheme="majorHAnsi" w:cs="Segoe UI Emoji"/>
        </w:rPr>
        <w:t>Dentro de los efectos indeseados de la regulación de precios de medicamentos se ha documentado el aumento del gasto por presión de consumo de sustitutos. La experiencia colombiana muestra que es posible claramente que los controles de precios no necesariamente disminuyan el gasto total farmacéutico. Autores comentan que "una mayor demanda de productos farmacéuticos puede ser algo positivo, siempre que el aumento sea el resultado de un mayor acceso a medicamentos efectivos en lugar de ser el resultado de la demanda inducida por los productores farmacéuticos", sin embargo es fundamental establecer mecanismos de monitoreo del consumo</w:t>
      </w:r>
      <w:r w:rsidR="00250428" w:rsidRPr="00A10DC8">
        <w:rPr>
          <w:rStyle w:val="Refdenotaalpie"/>
          <w:rFonts w:asciiTheme="majorHAnsi" w:hAnsiTheme="majorHAnsi" w:cs="Segoe UI Emoji"/>
        </w:rPr>
        <w:footnoteReference w:id="9"/>
      </w:r>
      <w:r w:rsidRPr="00A10DC8">
        <w:rPr>
          <w:rFonts w:asciiTheme="majorHAnsi" w:hAnsiTheme="majorHAnsi" w:cs="Segoe UI Emoji"/>
        </w:rPr>
        <w:t xml:space="preserve"> y combinación de estrategias orientadas a promover el uso óptimo de los medicamentos (Ver numeral 3). </w:t>
      </w:r>
    </w:p>
    <w:p w:rsidR="00250428" w:rsidRPr="00A10DC8" w:rsidRDefault="00250428" w:rsidP="00620A8B">
      <w:pPr>
        <w:pStyle w:val="Default"/>
        <w:spacing w:after="240"/>
        <w:jc w:val="both"/>
        <w:rPr>
          <w:rFonts w:asciiTheme="majorHAnsi" w:hAnsiTheme="majorHAnsi"/>
        </w:rPr>
      </w:pPr>
      <w:r w:rsidRPr="00A10DC8">
        <w:rPr>
          <w:rFonts w:asciiTheme="majorHAnsi" w:hAnsiTheme="majorHAnsi" w:cs="Segoe UI Emoji"/>
        </w:rPr>
        <w:t xml:space="preserve">Conviene mencionar dentro de los efectos indeseados de estas iniciativas de regulación de precios, el lobby internacional de la Industria Farmacéutica para mitigar o evitar su puesta en marcha. Por ejemplo, en respuesta a la decisión nacional de establecer una regulación de precios antes de la comercialización, AFIDRO logró incluir este asunto dentro de los condicionamientos a Colombia para ingresar a la OCDE y la mención del país en la lista de países bajo observación por la Oficina de Comercio de los Estados Unidos-USTR. Adelantar esta iniciativa en el contexto de integración comercial de Colombia, implica una alta legitimidad, fuertes capacidades técnicas y de negociación. </w:t>
      </w:r>
    </w:p>
    <w:p w:rsidR="00250428" w:rsidRPr="00A10DC8" w:rsidRDefault="00250428" w:rsidP="00620A8B">
      <w:pPr>
        <w:pStyle w:val="Default"/>
        <w:spacing w:after="240"/>
        <w:ind w:left="851" w:right="900"/>
        <w:jc w:val="both"/>
        <w:rPr>
          <w:rFonts w:asciiTheme="majorHAnsi" w:hAnsiTheme="majorHAnsi"/>
        </w:rPr>
      </w:pPr>
      <w:r w:rsidRPr="00A10DC8">
        <w:rPr>
          <w:rFonts w:asciiTheme="majorHAnsi" w:hAnsiTheme="majorHAnsi" w:cs="Segoe UI Emoji"/>
        </w:rPr>
        <w:t>De otro lado, varios países de la región, en particular México (a través del Instituto Mexicano de Salud), realizan negociaciones o compras centralizadas de medicamentos con reducciones cercanas del 60% en los precios</w:t>
      </w:r>
      <w:r w:rsidRPr="00A10DC8">
        <w:rPr>
          <w:rStyle w:val="Refdenotaalpie"/>
          <w:rFonts w:asciiTheme="majorHAnsi" w:hAnsiTheme="majorHAnsi" w:cs="Segoe UI Emoji"/>
        </w:rPr>
        <w:footnoteReference w:id="10"/>
      </w:r>
      <w:r w:rsidRPr="00A10DC8">
        <w:rPr>
          <w:rFonts w:asciiTheme="majorHAnsi" w:hAnsiTheme="majorHAnsi" w:cs="Segoe UI Emoji"/>
        </w:rPr>
        <w:t xml:space="preserve">. Colombia realizó una compra centralizada de 2 medicamentos (3 moléculas) para la hepatitis C en 2017, en el marco de las negociaciones de precios que adelanta la Organización </w:t>
      </w:r>
      <w:r w:rsidRPr="00A10DC8">
        <w:rPr>
          <w:rFonts w:asciiTheme="majorHAnsi" w:hAnsiTheme="majorHAnsi" w:cs="Segoe UI Emoji"/>
        </w:rPr>
        <w:lastRenderedPageBreak/>
        <w:t>Panamericana de la Salud y logró una reducción de precio del 80% y ahorros cercanos a los $292 mil millones</w:t>
      </w:r>
      <w:r w:rsidRPr="00A10DC8">
        <w:rPr>
          <w:rStyle w:val="Refdenotaalpie"/>
          <w:rFonts w:asciiTheme="majorHAnsi" w:hAnsiTheme="majorHAnsi" w:cs="Segoe UI Emoji"/>
        </w:rPr>
        <w:footnoteReference w:id="11"/>
      </w:r>
      <w:r w:rsidRPr="00A10DC8">
        <w:rPr>
          <w:rFonts w:asciiTheme="majorHAnsi" w:hAnsiTheme="majorHAnsi" w:cs="Segoe UI Emoji"/>
        </w:rPr>
        <w:t xml:space="preserve">. </w:t>
      </w:r>
    </w:p>
    <w:p w:rsidR="00250428" w:rsidRPr="00A10DC8" w:rsidRDefault="00250428" w:rsidP="00620A8B">
      <w:pPr>
        <w:pStyle w:val="Default"/>
        <w:spacing w:after="240"/>
        <w:jc w:val="both"/>
        <w:rPr>
          <w:rFonts w:asciiTheme="majorHAnsi" w:hAnsiTheme="majorHAnsi"/>
        </w:rPr>
      </w:pPr>
      <w:r w:rsidRPr="00A10DC8">
        <w:rPr>
          <w:rFonts w:asciiTheme="majorHAnsi" w:hAnsiTheme="majorHAnsi" w:cs="Segoe UI Emoji"/>
        </w:rPr>
        <w:t xml:space="preserve">El éxito relativo de esta estrategia de compra centralizada, tanto en Colombia como en Chile, demostró que es una iniciativa factible y que el gobierno tiene la capacidad para gestionar la compra, distribución y dispensación de medicamentos, caso que puede extenderse a otros medicamentos, sobre todo aquellos para enfermedades huérfanas. </w:t>
      </w:r>
    </w:p>
    <w:p w:rsidR="00FB0F43" w:rsidRPr="00A10DC8" w:rsidRDefault="00FB0F43" w:rsidP="00620A8B">
      <w:pPr>
        <w:pStyle w:val="Default"/>
        <w:pageBreakBefore/>
        <w:spacing w:after="240"/>
        <w:jc w:val="both"/>
        <w:rPr>
          <w:rFonts w:asciiTheme="majorHAnsi" w:hAnsiTheme="majorHAnsi"/>
        </w:rPr>
      </w:pPr>
      <w:r w:rsidRPr="00A10DC8">
        <w:rPr>
          <w:rFonts w:asciiTheme="majorHAnsi" w:hAnsiTheme="majorHAnsi" w:cs="Segoe UI Emoji"/>
        </w:rPr>
        <w:lastRenderedPageBreak/>
        <w:t>La sostenibilidad de las compras o negociaciones centralizadas dependen de la transparencia con que se adelanten. Conviene al respecto observar "buenas prácticas" en los procesos</w:t>
      </w:r>
      <w:r w:rsidR="00394484" w:rsidRPr="00A10DC8">
        <w:rPr>
          <w:rStyle w:val="Refdenotaalpie"/>
          <w:rFonts w:asciiTheme="majorHAnsi" w:hAnsiTheme="majorHAnsi" w:cs="Segoe UI Emoji"/>
        </w:rPr>
        <w:footnoteReference w:id="12"/>
      </w:r>
      <w:r w:rsidRPr="00A10DC8">
        <w:rPr>
          <w:rFonts w:asciiTheme="majorHAnsi" w:hAnsiTheme="majorHAnsi" w:cs="Segoe UI Emoji"/>
        </w:rPr>
        <w:t xml:space="preserve">. </w:t>
      </w:r>
    </w:p>
    <w:p w:rsidR="00394484" w:rsidRPr="00A10DC8" w:rsidRDefault="00394484" w:rsidP="00620A8B">
      <w:pPr>
        <w:pStyle w:val="Default"/>
        <w:spacing w:after="240"/>
        <w:jc w:val="both"/>
        <w:rPr>
          <w:rFonts w:asciiTheme="majorHAnsi" w:hAnsiTheme="majorHAnsi"/>
        </w:rPr>
      </w:pPr>
      <w:r w:rsidRPr="00A10DC8">
        <w:rPr>
          <w:rFonts w:asciiTheme="majorHAnsi" w:hAnsiTheme="majorHAnsi" w:cs="Segoe UI Emoji"/>
        </w:rPr>
        <w:t>En Colombia más del 55% del mercado de medicamentos corresponde al mercado privado, esto es ventas directas en droguerías, farmacias, cadenas de farmacias o grandes superficies</w:t>
      </w:r>
      <w:r w:rsidRPr="00A10DC8">
        <w:rPr>
          <w:rStyle w:val="Refdenotaalpie"/>
          <w:rFonts w:asciiTheme="majorHAnsi" w:hAnsiTheme="majorHAnsi" w:cs="Segoe UI Emoji"/>
        </w:rPr>
        <w:footnoteReference w:id="13"/>
      </w:r>
      <w:r w:rsidRPr="00A10DC8">
        <w:rPr>
          <w:rFonts w:asciiTheme="majorHAnsi" w:hAnsiTheme="majorHAnsi" w:cs="Segoe UI Emoji"/>
        </w:rPr>
        <w:t>. Esta diferencia debe ser estudiada, pues una proporción de este mercado podría explicarse por problemas en la entrega insuficiente de medicamentos (Ver numeral 2 de este documento). Además sugeriría que la magnitud del gasto de bolsillo en salud de los colombianos esté infra valorada (Las cifras del Ministerio de Salud establecen que ese gasto no es superior al 16%</w:t>
      </w:r>
      <w:r w:rsidRPr="00A10DC8">
        <w:rPr>
          <w:rStyle w:val="Refdenotaalpie"/>
          <w:rFonts w:asciiTheme="majorHAnsi" w:hAnsiTheme="majorHAnsi" w:cs="Segoe UI Emoji"/>
        </w:rPr>
        <w:footnoteReference w:id="14"/>
      </w:r>
      <w:r w:rsidRPr="00A10DC8">
        <w:rPr>
          <w:rFonts w:asciiTheme="majorHAnsi" w:hAnsiTheme="majorHAnsi" w:cs="Segoe UI Emoji"/>
        </w:rPr>
        <w:t>, mientras en OCDE el gasto en promedio alcanza el 20%</w:t>
      </w:r>
      <w:r w:rsidRPr="00A10DC8">
        <w:rPr>
          <w:rStyle w:val="Refdenotaalpie"/>
          <w:rFonts w:asciiTheme="majorHAnsi" w:hAnsiTheme="majorHAnsi" w:cs="Segoe UI Emoji"/>
        </w:rPr>
        <w:footnoteReference w:id="15"/>
      </w:r>
      <w:r w:rsidRPr="00A10DC8">
        <w:rPr>
          <w:rFonts w:asciiTheme="majorHAnsi" w:hAnsiTheme="majorHAnsi" w:cs="Segoe UI Emoji"/>
        </w:rPr>
        <w:t xml:space="preserve">). </w:t>
      </w:r>
    </w:p>
    <w:p w:rsidR="00394484" w:rsidRPr="00A10DC8" w:rsidRDefault="00394484" w:rsidP="00620A8B">
      <w:pPr>
        <w:pStyle w:val="Default"/>
        <w:spacing w:after="240"/>
        <w:jc w:val="both"/>
        <w:rPr>
          <w:rFonts w:asciiTheme="majorHAnsi" w:hAnsiTheme="majorHAnsi"/>
        </w:rPr>
      </w:pPr>
      <w:r w:rsidRPr="00A10DC8">
        <w:rPr>
          <w:rFonts w:asciiTheme="majorHAnsi" w:hAnsiTheme="majorHAnsi" w:cs="Segoe UI Emoji"/>
        </w:rPr>
        <w:t>La amplia disponibilidad de información de precios de medicamentos para que los ciudadanos decidan y elijan el más económico, es un mecanismo efectivo para proteger el gasto de bolsillo. Los aplicativos móviles que permitan conocer en tiempo real los precios, y la ubicación de las droguerías y farmacias que los ofrecen, debe ser prioridad de política pública</w:t>
      </w:r>
      <w:r w:rsidRPr="00A10DC8">
        <w:rPr>
          <w:rStyle w:val="Refdenotaalpie"/>
          <w:rFonts w:asciiTheme="majorHAnsi" w:hAnsiTheme="majorHAnsi" w:cs="Segoe UI Emoji"/>
        </w:rPr>
        <w:footnoteReference w:id="16"/>
      </w:r>
      <w:r w:rsidRPr="00A10DC8">
        <w:rPr>
          <w:rFonts w:asciiTheme="majorHAnsi" w:hAnsiTheme="majorHAnsi" w:cs="Segoe UI Emoji"/>
        </w:rPr>
        <w:t>. En México</w:t>
      </w:r>
      <w:r w:rsidR="006E0C12" w:rsidRPr="00A10DC8">
        <w:rPr>
          <w:rStyle w:val="Refdenotaalpie"/>
          <w:rFonts w:asciiTheme="majorHAnsi" w:hAnsiTheme="majorHAnsi" w:cs="Segoe UI Emoji"/>
        </w:rPr>
        <w:footnoteReference w:id="17"/>
      </w:r>
      <w:r w:rsidRPr="00A10DC8">
        <w:rPr>
          <w:rFonts w:asciiTheme="majorHAnsi" w:hAnsiTheme="majorHAnsi" w:cs="Segoe UI Emoji"/>
        </w:rPr>
        <w:t>, Perú</w:t>
      </w:r>
      <w:r w:rsidR="006E0C12" w:rsidRPr="00A10DC8">
        <w:rPr>
          <w:rStyle w:val="Refdenotaalpie"/>
          <w:rFonts w:asciiTheme="majorHAnsi" w:hAnsiTheme="majorHAnsi" w:cs="Segoe UI Emoji"/>
        </w:rPr>
        <w:footnoteReference w:id="18"/>
      </w:r>
      <w:r w:rsidRPr="00A10DC8">
        <w:rPr>
          <w:rFonts w:asciiTheme="majorHAnsi" w:hAnsiTheme="majorHAnsi" w:cs="Segoe UI Emoji"/>
        </w:rPr>
        <w:t xml:space="preserve"> y República Dominicana</w:t>
      </w:r>
      <w:r w:rsidR="006E0C12" w:rsidRPr="00A10DC8">
        <w:rPr>
          <w:rStyle w:val="Refdenotaalpie"/>
          <w:rFonts w:asciiTheme="majorHAnsi" w:hAnsiTheme="majorHAnsi" w:cs="Segoe UI Emoji"/>
        </w:rPr>
        <w:footnoteReference w:id="19"/>
      </w:r>
      <w:r w:rsidRPr="00A10DC8">
        <w:rPr>
          <w:rFonts w:asciiTheme="majorHAnsi" w:hAnsiTheme="majorHAnsi" w:cs="Segoe UI Emoji"/>
        </w:rPr>
        <w:t xml:space="preserve"> se ha documentado que estas estrategias logran ahorros de hasta el 75% para los ciudadanos. También se debe promover la transparencia en los precios de compra de medicamentos de los hospitales para evitar la discriminación de precios. </w:t>
      </w:r>
    </w:p>
    <w:p w:rsidR="00FB0F43" w:rsidRPr="00A10DC8" w:rsidRDefault="00394484" w:rsidP="00620A8B">
      <w:pPr>
        <w:pStyle w:val="Default"/>
        <w:spacing w:after="240"/>
        <w:jc w:val="both"/>
        <w:rPr>
          <w:rFonts w:asciiTheme="majorHAnsi" w:hAnsiTheme="majorHAnsi"/>
        </w:rPr>
      </w:pPr>
      <w:r w:rsidRPr="00A10DC8">
        <w:rPr>
          <w:rFonts w:asciiTheme="majorHAnsi" w:hAnsiTheme="majorHAnsi" w:cs="Segoe UI Emoji"/>
        </w:rPr>
        <w:t xml:space="preserve">El uso y promoción de medicamentos genéricos es una de las estrategias más eficientes para reducir el gasto público y ampliar el acceso a medicamentos. Lamentablemente la percepción -equivocada- de mala calidad de estos medicamentos, alimentada por las campañas contra los genéricos y el bajo reconocimiento de la autoridad sanitaria dificulta la aplicación de esta estrategia. </w:t>
      </w:r>
    </w:p>
    <w:p w:rsidR="00FB0F43" w:rsidRPr="00A10DC8" w:rsidRDefault="00FB0F43" w:rsidP="00620A8B">
      <w:pPr>
        <w:pStyle w:val="Default"/>
        <w:spacing w:after="240"/>
        <w:jc w:val="both"/>
        <w:rPr>
          <w:rFonts w:asciiTheme="majorHAnsi" w:hAnsiTheme="majorHAnsi"/>
        </w:rPr>
      </w:pPr>
      <w:r w:rsidRPr="00A10DC8">
        <w:rPr>
          <w:rFonts w:asciiTheme="majorHAnsi" w:hAnsiTheme="majorHAnsi" w:cs="Segoe UI Emoji"/>
        </w:rPr>
        <w:t xml:space="preserve">En Colombia más del 55% del mercado de medicamentos corresponde al mercado privado, esto es ventas directas en droguerías, farmacias, cadenas de farmacias o grandes superficies13. Esta diferencia debe ser estudiada, pues una proporción de este mercado podría explicarse por problemas en la entrega insuficiente de medicamentos (Ver numeral 2 de este documento). Además sugeriría que la magnitud del gasto de bolsillo en salud de los colombianos esté infra valorada (Las cifras del </w:t>
      </w:r>
      <w:r w:rsidRPr="00A10DC8">
        <w:rPr>
          <w:rFonts w:asciiTheme="majorHAnsi" w:hAnsiTheme="majorHAnsi" w:cs="Segoe UI Emoji"/>
        </w:rPr>
        <w:lastRenderedPageBreak/>
        <w:t xml:space="preserve">Ministerio de Salud establecen que ese gasto no es superior al 16%14, mientras en OCDE el gasto en promedio alcanza el 20%15). </w:t>
      </w:r>
    </w:p>
    <w:p w:rsidR="00FB0F43" w:rsidRPr="00A10DC8" w:rsidRDefault="00FB0F43" w:rsidP="00620A8B">
      <w:pPr>
        <w:pStyle w:val="Default"/>
        <w:spacing w:after="240"/>
        <w:jc w:val="both"/>
        <w:rPr>
          <w:rFonts w:asciiTheme="majorHAnsi" w:hAnsiTheme="majorHAnsi"/>
        </w:rPr>
      </w:pPr>
      <w:r w:rsidRPr="00A10DC8">
        <w:rPr>
          <w:rFonts w:asciiTheme="majorHAnsi" w:hAnsiTheme="majorHAnsi" w:cs="Segoe UI Emoji"/>
        </w:rPr>
        <w:t xml:space="preserve">La amplia disponibilidad de información de precios de medicamentos para que los ciudadanos decidan y elijan el más económico, es un mecanismo efectivo para proteger el gasto de bolsillo. Los aplicativos móviles que permitan conocer en tiempo real los precios, y la ubicación de las droguerías y farmacias que los ofrecen, debe ser prioridad de política pública16. En México17, Perú18 y República Dominicana19 se ha documentado que estas estrategias logran ahorros de hasta el 75% para los ciudadanos. También se debe promover la transparencia en los precios de compra de medicamentos de los hospitales para evitar la discriminación de precios. </w:t>
      </w:r>
    </w:p>
    <w:p w:rsidR="00FB0F43" w:rsidRPr="00A10DC8" w:rsidRDefault="00FB0F43" w:rsidP="00620A8B">
      <w:pPr>
        <w:pStyle w:val="Default"/>
        <w:spacing w:after="240"/>
        <w:jc w:val="both"/>
        <w:rPr>
          <w:rFonts w:asciiTheme="majorHAnsi" w:hAnsiTheme="majorHAnsi"/>
        </w:rPr>
      </w:pPr>
      <w:r w:rsidRPr="00A10DC8">
        <w:rPr>
          <w:rFonts w:asciiTheme="majorHAnsi" w:hAnsiTheme="majorHAnsi" w:cs="Segoe UI Emoji"/>
        </w:rPr>
        <w:t xml:space="preserve">El uso y promoción de medicamentos genéricos es una de las estrategias más eficientes para reducir el gasto público y ampliar el acceso a medicamentos. Lamentablemente la percepción -equivocada- de mala calidad de estos medicamentos, alimentada por las campañas contra los genéricos y el bajo reconocimiento de la autoridad sanitaria dificulta la aplicación de esta estrategia. </w:t>
      </w:r>
    </w:p>
    <w:p w:rsidR="00FB0F43" w:rsidRPr="00A10DC8" w:rsidRDefault="00FB0F43" w:rsidP="00620A8B">
      <w:pPr>
        <w:pStyle w:val="Default"/>
        <w:pageBreakBefore/>
        <w:spacing w:after="240"/>
        <w:jc w:val="both"/>
        <w:rPr>
          <w:rFonts w:asciiTheme="majorHAnsi" w:hAnsiTheme="majorHAnsi"/>
        </w:rPr>
      </w:pPr>
      <w:r w:rsidRPr="00A10DC8">
        <w:rPr>
          <w:rFonts w:asciiTheme="majorHAnsi" w:hAnsiTheme="majorHAnsi" w:cs="Segoe UI Emoji"/>
        </w:rPr>
        <w:lastRenderedPageBreak/>
        <w:t xml:space="preserve">Este asunto se agudiza en el caso de las versiones genéricas más económicas de los medicamentos biotecnológicos, por su alto costo y por la presión que las grandes compañías realizan para proteger su fracción de mercado, ante la entrada de competencia. </w:t>
      </w:r>
    </w:p>
    <w:p w:rsidR="00FB0F43" w:rsidRPr="00A10DC8" w:rsidRDefault="00FB0F43" w:rsidP="00620A8B">
      <w:pPr>
        <w:pStyle w:val="Default"/>
        <w:spacing w:after="240"/>
        <w:jc w:val="both"/>
        <w:rPr>
          <w:rFonts w:asciiTheme="majorHAnsi" w:hAnsiTheme="majorHAnsi"/>
        </w:rPr>
      </w:pPr>
      <w:r w:rsidRPr="00A10DC8">
        <w:rPr>
          <w:rFonts w:asciiTheme="majorHAnsi" w:hAnsiTheme="majorHAnsi" w:cs="Segoe UI Emoji"/>
        </w:rPr>
        <w:t>En Colombia se adelantan campañas para desacreditar los medicamentos genéricos, que buscan deslegitimar algunas decisiones que fomentan la competencia en el sector. Por ejemplo, se argumenta que el decreto que reglamenta la entrada de biotecnológicos al país (Decreto 1782 de 2014) hace menos estrictos los criterios de evaluación del INVIMA para los competidores, lo que pondría en riesgo la salud de los pacientes, al facilitar la entrada de medicamentos de menor calidad</w:t>
      </w:r>
      <w:r w:rsidR="006E0C12" w:rsidRPr="00A10DC8">
        <w:rPr>
          <w:rStyle w:val="Refdenotaalpie"/>
          <w:rFonts w:asciiTheme="majorHAnsi" w:hAnsiTheme="majorHAnsi" w:cs="Segoe UI Emoji"/>
        </w:rPr>
        <w:footnoteReference w:id="20"/>
      </w:r>
      <w:r w:rsidRPr="00A10DC8">
        <w:rPr>
          <w:rFonts w:asciiTheme="majorHAnsi" w:hAnsiTheme="majorHAnsi" w:cs="Segoe UI Emoji"/>
        </w:rPr>
        <w:t>, desconociendo que atiende los estándares aceptados por la mayoría de las agencias sanitarias a nivel mundial</w:t>
      </w:r>
      <w:r w:rsidR="006E0C12" w:rsidRPr="00A10DC8">
        <w:rPr>
          <w:rStyle w:val="Refdenotaalpie"/>
          <w:rFonts w:asciiTheme="majorHAnsi" w:hAnsiTheme="majorHAnsi" w:cs="Segoe UI Emoji"/>
        </w:rPr>
        <w:footnoteReference w:id="21"/>
      </w:r>
      <w:proofErr w:type="gramStart"/>
      <w:r w:rsidR="006E0C12" w:rsidRPr="00A10DC8">
        <w:rPr>
          <w:rFonts w:asciiTheme="majorHAnsi" w:hAnsiTheme="majorHAnsi" w:cs="Segoe UI Emoji"/>
        </w:rPr>
        <w:t>,</w:t>
      </w:r>
      <w:r w:rsidR="006E0C12" w:rsidRPr="00A10DC8">
        <w:rPr>
          <w:rStyle w:val="Refdenotaalpie"/>
          <w:rFonts w:asciiTheme="majorHAnsi" w:hAnsiTheme="majorHAnsi" w:cs="Segoe UI Emoji"/>
        </w:rPr>
        <w:footnoteReference w:id="22"/>
      </w:r>
      <w:r w:rsidRPr="00A10DC8">
        <w:rPr>
          <w:rFonts w:asciiTheme="majorHAnsi" w:hAnsiTheme="majorHAnsi" w:cs="Segoe UI Emoji"/>
        </w:rPr>
        <w:t>.</w:t>
      </w:r>
      <w:proofErr w:type="gramEnd"/>
      <w:r w:rsidRPr="00A10DC8">
        <w:rPr>
          <w:rFonts w:asciiTheme="majorHAnsi" w:hAnsiTheme="majorHAnsi" w:cs="Segoe UI Emoji"/>
        </w:rPr>
        <w:t xml:space="preserve"> Al respecto conviene reforzar las estrategias de comunicación que el INVIMA realiza</w:t>
      </w:r>
      <w:r w:rsidR="006E0C12" w:rsidRPr="00A10DC8">
        <w:rPr>
          <w:rStyle w:val="Refdenotaalpie"/>
          <w:rFonts w:asciiTheme="majorHAnsi" w:hAnsiTheme="majorHAnsi" w:cs="Segoe UI Emoji"/>
        </w:rPr>
        <w:footnoteReference w:id="23"/>
      </w:r>
      <w:r w:rsidRPr="00A10DC8">
        <w:rPr>
          <w:rFonts w:asciiTheme="majorHAnsi" w:hAnsiTheme="majorHAnsi" w:cs="Segoe UI Emoji"/>
        </w:rPr>
        <w:t xml:space="preserve">, siguiendo ejemplos de la otras entidades regulatorias, para reducir la carga de noticias falsas a la ciudadanía. </w:t>
      </w:r>
    </w:p>
    <w:tbl>
      <w:tblPr>
        <w:tblW w:w="0" w:type="auto"/>
        <w:tblInd w:w="81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503"/>
      </w:tblGrid>
      <w:tr w:rsidR="00FB0F43" w:rsidRPr="00A10DC8" w:rsidTr="00423CE3">
        <w:trPr>
          <w:trHeight w:val="1556"/>
        </w:trPr>
        <w:tc>
          <w:tcPr>
            <w:tcW w:w="7503" w:type="dxa"/>
          </w:tcPr>
          <w:p w:rsidR="006E0C12" w:rsidRPr="00A10DC8" w:rsidRDefault="006E0C12" w:rsidP="00620A8B">
            <w:pPr>
              <w:pStyle w:val="Default"/>
              <w:spacing w:after="240"/>
              <w:jc w:val="both"/>
              <w:rPr>
                <w:rFonts w:asciiTheme="majorHAnsi" w:hAnsiTheme="majorHAnsi"/>
              </w:rPr>
            </w:pPr>
          </w:p>
          <w:p w:rsidR="00FB0F43" w:rsidRPr="00A10DC8" w:rsidRDefault="00FB0F43" w:rsidP="002F6E16">
            <w:pPr>
              <w:pStyle w:val="Default"/>
              <w:spacing w:after="240"/>
              <w:jc w:val="center"/>
              <w:rPr>
                <w:rFonts w:asciiTheme="majorHAnsi" w:hAnsiTheme="majorHAnsi" w:cs="Segoe UI Emoji"/>
              </w:rPr>
            </w:pPr>
            <w:r w:rsidRPr="00A10DC8">
              <w:rPr>
                <w:rFonts w:asciiTheme="majorHAnsi" w:hAnsiTheme="majorHAnsi" w:cs="Segoe UI Emoji"/>
              </w:rPr>
              <w:t>Propuestas</w:t>
            </w:r>
          </w:p>
          <w:p w:rsidR="00FB0F43" w:rsidRPr="00A10DC8" w:rsidRDefault="00FB0F43" w:rsidP="002F6E16">
            <w:pPr>
              <w:pStyle w:val="Default"/>
              <w:spacing w:after="240"/>
              <w:jc w:val="center"/>
              <w:rPr>
                <w:rFonts w:asciiTheme="majorHAnsi" w:hAnsiTheme="majorHAnsi" w:cs="Segoe UI Emoji"/>
              </w:rPr>
            </w:pPr>
            <w:r w:rsidRPr="00A10DC8">
              <w:rPr>
                <w:rFonts w:asciiTheme="majorHAnsi" w:hAnsiTheme="majorHAnsi" w:cs="Segoe UI Emoji"/>
              </w:rPr>
              <w:t>“Medicamentos buenos y a buen precio"</w:t>
            </w:r>
          </w:p>
          <w:p w:rsidR="00FB0F43" w:rsidRPr="00A10DC8" w:rsidRDefault="00FB0F43" w:rsidP="00620A8B">
            <w:pPr>
              <w:pStyle w:val="Default"/>
              <w:spacing w:after="240"/>
              <w:jc w:val="both"/>
              <w:rPr>
                <w:rFonts w:asciiTheme="majorHAnsi" w:hAnsiTheme="majorHAnsi" w:cs="Segoe UI Emoji"/>
              </w:rPr>
            </w:pPr>
            <w:r w:rsidRPr="00A10DC8">
              <w:rPr>
                <w:rFonts w:asciiTheme="majorHAnsi" w:hAnsiTheme="majorHAnsi" w:cs="Segoe UI Emoji"/>
              </w:rPr>
              <w:t xml:space="preserve">1. Continuar y robustecer la regulación de los precios de los medicamentos: Control del precio de los medicamentos nuevos antes del inicio de la venta en el país (incluidos los Medicamentos Vitales No Disponibles), </w:t>
            </w:r>
            <w:proofErr w:type="spellStart"/>
            <w:r w:rsidRPr="00A10DC8">
              <w:rPr>
                <w:rFonts w:asciiTheme="majorHAnsi" w:hAnsiTheme="majorHAnsi" w:cs="Segoe UI Emoji"/>
              </w:rPr>
              <w:t>referenciación</w:t>
            </w:r>
            <w:proofErr w:type="spellEnd"/>
            <w:r w:rsidRPr="00A10DC8">
              <w:rPr>
                <w:rFonts w:asciiTheme="majorHAnsi" w:hAnsiTheme="majorHAnsi" w:cs="Segoe UI Emoji"/>
              </w:rPr>
              <w:t xml:space="preserve"> internacional de precios y monitoreo del gasto de bolsillo en medicamentos. </w:t>
            </w:r>
          </w:p>
          <w:p w:rsidR="00FB0F43" w:rsidRPr="00A10DC8" w:rsidRDefault="00FB0F43" w:rsidP="002F6E16">
            <w:pPr>
              <w:pStyle w:val="Default"/>
              <w:numPr>
                <w:ilvl w:val="0"/>
                <w:numId w:val="1"/>
              </w:numPr>
              <w:spacing w:after="240"/>
              <w:jc w:val="both"/>
              <w:rPr>
                <w:rFonts w:asciiTheme="majorHAnsi" w:hAnsiTheme="majorHAnsi" w:cs="Segoe UI Emoji"/>
              </w:rPr>
            </w:pPr>
            <w:r w:rsidRPr="00A10DC8">
              <w:rPr>
                <w:rFonts w:asciiTheme="majorHAnsi" w:hAnsiTheme="majorHAnsi" w:cs="Segoe UI Emoji"/>
              </w:rPr>
              <w:t xml:space="preserve">Profundizar la estrategia de compras y negociaciones centralizadas de medicamentos. </w:t>
            </w:r>
          </w:p>
          <w:p w:rsidR="00FB0F43" w:rsidRPr="00A10DC8" w:rsidRDefault="00FB0F43" w:rsidP="002F6E16">
            <w:pPr>
              <w:pStyle w:val="Default"/>
              <w:numPr>
                <w:ilvl w:val="0"/>
                <w:numId w:val="1"/>
              </w:numPr>
              <w:spacing w:after="240"/>
              <w:jc w:val="both"/>
              <w:rPr>
                <w:rFonts w:asciiTheme="majorHAnsi" w:hAnsiTheme="majorHAnsi"/>
              </w:rPr>
            </w:pPr>
            <w:r w:rsidRPr="00A10DC8">
              <w:rPr>
                <w:rFonts w:asciiTheme="majorHAnsi" w:hAnsiTheme="majorHAnsi" w:cs="Segoe UI Emoji"/>
              </w:rPr>
              <w:t xml:space="preserve">Disponer herramientas de consulta fácil de los precios de los medicamentos para los ciudadanos. </w:t>
            </w:r>
          </w:p>
          <w:p w:rsidR="00FB0F43" w:rsidRPr="00A10DC8" w:rsidRDefault="00FB0F43" w:rsidP="002F6E16">
            <w:pPr>
              <w:pStyle w:val="Default"/>
              <w:numPr>
                <w:ilvl w:val="0"/>
                <w:numId w:val="1"/>
              </w:numPr>
              <w:spacing w:after="240"/>
              <w:jc w:val="both"/>
              <w:rPr>
                <w:rFonts w:asciiTheme="majorHAnsi" w:hAnsiTheme="majorHAnsi"/>
              </w:rPr>
            </w:pPr>
            <w:r w:rsidRPr="00A10DC8">
              <w:rPr>
                <w:rFonts w:asciiTheme="majorHAnsi" w:hAnsiTheme="majorHAnsi" w:cs="Segoe UI Emoji"/>
              </w:rPr>
              <w:t xml:space="preserve">Consolidar al INVIMA como una institución en la que confían los ciudadanos por sus decisiones de protección de la salud y por la vigilancia rigurosa de la calidad de los medicamentos. </w:t>
            </w:r>
          </w:p>
          <w:p w:rsidR="00FB0F43" w:rsidRPr="00423CE3" w:rsidRDefault="00FB0F43" w:rsidP="00423CE3">
            <w:pPr>
              <w:pStyle w:val="Default"/>
              <w:numPr>
                <w:ilvl w:val="0"/>
                <w:numId w:val="1"/>
              </w:numPr>
              <w:spacing w:after="240"/>
              <w:jc w:val="both"/>
              <w:rPr>
                <w:rFonts w:asciiTheme="majorHAnsi" w:hAnsiTheme="majorHAnsi"/>
              </w:rPr>
            </w:pPr>
            <w:r w:rsidRPr="00A10DC8">
              <w:rPr>
                <w:rFonts w:asciiTheme="majorHAnsi" w:hAnsiTheme="majorHAnsi"/>
              </w:rPr>
              <w:lastRenderedPageBreak/>
              <w:t xml:space="preserve"> </w:t>
            </w:r>
            <w:r w:rsidRPr="00A10DC8">
              <w:rPr>
                <w:rFonts w:asciiTheme="majorHAnsi" w:hAnsiTheme="majorHAnsi" w:cs="Segoe UI Emoji"/>
              </w:rPr>
              <w:t xml:space="preserve">Vigilar, prevenir y sancionar las prácticas de bloqueo de la competencia de los medicamentos, por ejemplo, las que intentan limitar la disponibilidad de los genéricos y </w:t>
            </w:r>
            <w:proofErr w:type="spellStart"/>
            <w:r w:rsidRPr="00A10DC8">
              <w:rPr>
                <w:rFonts w:asciiTheme="majorHAnsi" w:hAnsiTheme="majorHAnsi" w:cs="Segoe UI Emoji"/>
              </w:rPr>
              <w:t>biogenéricos</w:t>
            </w:r>
            <w:proofErr w:type="spellEnd"/>
            <w:r w:rsidRPr="00A10DC8">
              <w:rPr>
                <w:rFonts w:asciiTheme="majorHAnsi" w:hAnsiTheme="majorHAnsi" w:cs="Segoe UI Emoji"/>
              </w:rPr>
              <w:t xml:space="preserve">, o las que intentan desprestigiarlos. </w:t>
            </w:r>
          </w:p>
        </w:tc>
      </w:tr>
    </w:tbl>
    <w:p w:rsidR="002F6E16" w:rsidRPr="00A10DC8" w:rsidRDefault="002F6E16" w:rsidP="00620A8B">
      <w:pPr>
        <w:autoSpaceDE w:val="0"/>
        <w:autoSpaceDN w:val="0"/>
        <w:adjustRightInd w:val="0"/>
        <w:spacing w:after="240" w:line="240" w:lineRule="auto"/>
        <w:jc w:val="both"/>
        <w:rPr>
          <w:rFonts w:asciiTheme="majorHAnsi" w:hAnsiTheme="majorHAnsi" w:cs="Segoe UI Emoji"/>
          <w:color w:val="000000"/>
          <w:sz w:val="24"/>
          <w:szCs w:val="24"/>
        </w:rPr>
      </w:pPr>
    </w:p>
    <w:p w:rsidR="00620A8B" w:rsidRDefault="00620A8B" w:rsidP="00620A8B">
      <w:pPr>
        <w:autoSpaceDE w:val="0"/>
        <w:autoSpaceDN w:val="0"/>
        <w:adjustRightInd w:val="0"/>
        <w:spacing w:after="240" w:line="240" w:lineRule="auto"/>
        <w:jc w:val="both"/>
        <w:rPr>
          <w:rFonts w:asciiTheme="majorHAnsi" w:hAnsiTheme="majorHAnsi" w:cs="Segoe UI Emoji"/>
          <w:color w:val="000000"/>
          <w:sz w:val="24"/>
          <w:szCs w:val="24"/>
        </w:rPr>
      </w:pPr>
      <w:r w:rsidRPr="00620A8B">
        <w:rPr>
          <w:rFonts w:asciiTheme="majorHAnsi" w:hAnsiTheme="majorHAnsi" w:cs="Segoe UI Emoji"/>
          <w:color w:val="000000"/>
          <w:sz w:val="24"/>
          <w:szCs w:val="24"/>
        </w:rPr>
        <w:t xml:space="preserve">2. "Entrega Oportuna y Completa de Medicamentos": Estrategias para resolver la demanda insatisfecha en el sistema de salud. </w:t>
      </w:r>
    </w:p>
    <w:p w:rsidR="00620A8B" w:rsidRPr="00620A8B" w:rsidRDefault="00620A8B" w:rsidP="00620A8B">
      <w:pPr>
        <w:pageBreakBefore/>
        <w:autoSpaceDE w:val="0"/>
        <w:autoSpaceDN w:val="0"/>
        <w:adjustRightInd w:val="0"/>
        <w:spacing w:after="240" w:line="240" w:lineRule="auto"/>
        <w:jc w:val="both"/>
        <w:rPr>
          <w:rFonts w:asciiTheme="majorHAnsi" w:hAnsiTheme="majorHAnsi" w:cs="Segoe UI Emoji"/>
          <w:color w:val="000000"/>
          <w:sz w:val="24"/>
          <w:szCs w:val="24"/>
        </w:rPr>
      </w:pPr>
      <w:r w:rsidRPr="00620A8B">
        <w:rPr>
          <w:rFonts w:asciiTheme="majorHAnsi" w:hAnsiTheme="majorHAnsi" w:cs="Segoe UI Emoji"/>
          <w:color w:val="000000"/>
          <w:sz w:val="24"/>
          <w:szCs w:val="24"/>
        </w:rPr>
        <w:lastRenderedPageBreak/>
        <w:t xml:space="preserve">Problemática, cifras y estudios que sustentan este componente </w:t>
      </w:r>
    </w:p>
    <w:p w:rsidR="00620A8B" w:rsidRPr="00620A8B" w:rsidRDefault="00620A8B" w:rsidP="00620A8B">
      <w:pPr>
        <w:autoSpaceDE w:val="0"/>
        <w:autoSpaceDN w:val="0"/>
        <w:adjustRightInd w:val="0"/>
        <w:spacing w:after="240" w:line="240" w:lineRule="auto"/>
        <w:jc w:val="both"/>
        <w:rPr>
          <w:rFonts w:asciiTheme="majorHAnsi" w:hAnsiTheme="majorHAnsi" w:cs="Calibri"/>
          <w:color w:val="000000"/>
          <w:sz w:val="24"/>
          <w:szCs w:val="24"/>
        </w:rPr>
      </w:pPr>
      <w:r w:rsidRPr="00620A8B">
        <w:rPr>
          <w:rFonts w:asciiTheme="majorHAnsi" w:hAnsiTheme="majorHAnsi" w:cs="Segoe UI Emoji"/>
          <w:color w:val="000000"/>
          <w:sz w:val="24"/>
          <w:szCs w:val="24"/>
        </w:rPr>
        <w:t xml:space="preserve">Hace casi seis años el Documento </w:t>
      </w:r>
      <w:proofErr w:type="spellStart"/>
      <w:r w:rsidRPr="00620A8B">
        <w:rPr>
          <w:rFonts w:asciiTheme="majorHAnsi" w:hAnsiTheme="majorHAnsi" w:cs="Segoe UI Emoji"/>
          <w:color w:val="000000"/>
          <w:sz w:val="24"/>
          <w:szCs w:val="24"/>
        </w:rPr>
        <w:t>Conpes</w:t>
      </w:r>
      <w:proofErr w:type="spellEnd"/>
      <w:r w:rsidRPr="00620A8B">
        <w:rPr>
          <w:rFonts w:asciiTheme="majorHAnsi" w:hAnsiTheme="majorHAnsi" w:cs="Segoe UI Emoji"/>
          <w:color w:val="000000"/>
          <w:sz w:val="24"/>
          <w:szCs w:val="24"/>
        </w:rPr>
        <w:t xml:space="preserve"> “Política Farmacéutica Nacional” diagnosticó la situación del acceso de la población a los medicamentos incluidos en el Plan Obligatorio de Salud (POS). En ese momento, cerca del 30% de las personas aseguradas no recibieron de manera suficiente los medicamentos prescritos. Y todo indica que la situación no se ha resuelto. </w:t>
      </w:r>
    </w:p>
    <w:p w:rsidR="00620A8B" w:rsidRPr="00620A8B" w:rsidRDefault="00620A8B" w:rsidP="00620A8B">
      <w:pPr>
        <w:autoSpaceDE w:val="0"/>
        <w:autoSpaceDN w:val="0"/>
        <w:adjustRightInd w:val="0"/>
        <w:spacing w:after="240" w:line="240" w:lineRule="auto"/>
        <w:jc w:val="both"/>
        <w:rPr>
          <w:rFonts w:asciiTheme="majorHAnsi" w:hAnsiTheme="majorHAnsi" w:cs="Calibri"/>
          <w:color w:val="000000"/>
          <w:sz w:val="24"/>
          <w:szCs w:val="24"/>
        </w:rPr>
      </w:pPr>
      <w:r w:rsidRPr="00620A8B">
        <w:rPr>
          <w:rFonts w:asciiTheme="majorHAnsi" w:hAnsiTheme="majorHAnsi" w:cs="Segoe UI Emoji"/>
          <w:color w:val="000000"/>
          <w:sz w:val="24"/>
          <w:szCs w:val="24"/>
        </w:rPr>
        <w:t xml:space="preserve">La entrega inoportuna e incompleta de medicamentos a los que los usuarios tienen derecho sigue siendo uno de los principales problemas de acceso efectivo a los medicamentos, puede afectar el gasto de bolsillo y podría ser la causa de la percepción negativa de los usuarios sobre el sistema de salud. </w:t>
      </w:r>
    </w:p>
    <w:p w:rsidR="00620A8B" w:rsidRPr="00620A8B" w:rsidRDefault="00620A8B" w:rsidP="002F6E16">
      <w:pPr>
        <w:autoSpaceDE w:val="0"/>
        <w:autoSpaceDN w:val="0"/>
        <w:adjustRightInd w:val="0"/>
        <w:spacing w:after="240" w:line="240" w:lineRule="auto"/>
        <w:jc w:val="both"/>
        <w:rPr>
          <w:rFonts w:asciiTheme="majorHAnsi" w:hAnsiTheme="majorHAnsi" w:cs="Calibri"/>
          <w:color w:val="000000"/>
          <w:sz w:val="24"/>
          <w:szCs w:val="24"/>
        </w:rPr>
      </w:pPr>
      <w:r w:rsidRPr="00620A8B">
        <w:rPr>
          <w:rFonts w:asciiTheme="majorHAnsi" w:hAnsiTheme="majorHAnsi" w:cs="Calibri"/>
          <w:color w:val="000000"/>
          <w:sz w:val="24"/>
          <w:szCs w:val="24"/>
        </w:rPr>
        <w:t>La encuesta de Calidad de Vida – ECV del DANE de 2016 estableció que más del 20% de las personas no recibieron los medicamentos que les formularon y que a más del 36% no se los entregaron de forma completa. La situación es peor en las regiones apartadas. El caso más crítico se presenta en la región de la Orinoquía – Amazonía, en donde sólo a uno de cada dos pacientes reciben sus medicamentos completos cuando los necesita</w:t>
      </w:r>
      <w:r w:rsidR="002F6E16" w:rsidRPr="00A10DC8">
        <w:rPr>
          <w:rStyle w:val="Refdenotaalpie"/>
          <w:rFonts w:asciiTheme="majorHAnsi" w:hAnsiTheme="majorHAnsi" w:cs="Calibri"/>
          <w:color w:val="000000"/>
          <w:sz w:val="24"/>
          <w:szCs w:val="24"/>
        </w:rPr>
        <w:footnoteReference w:id="24"/>
      </w:r>
      <w:r w:rsidRPr="00620A8B">
        <w:rPr>
          <w:rFonts w:asciiTheme="majorHAnsi" w:hAnsiTheme="majorHAnsi" w:cs="Calibri"/>
          <w:color w:val="000000"/>
          <w:sz w:val="24"/>
          <w:szCs w:val="24"/>
        </w:rPr>
        <w:t xml:space="preserve">. </w:t>
      </w:r>
      <w:r w:rsidRPr="00620A8B">
        <w:rPr>
          <w:rFonts w:asciiTheme="majorHAnsi" w:hAnsiTheme="majorHAnsi" w:cs="Segoe UI Emoji"/>
          <w:color w:val="000000"/>
          <w:sz w:val="24"/>
          <w:szCs w:val="24"/>
        </w:rPr>
        <w:t>Otra evaluación realizada en 2017, consultó a los usuarios del sistema y mostró que el 28% de ellos calificaron como malo o medio el servicio de entrega de medicamentos</w:t>
      </w:r>
      <w:r w:rsidR="002F6E16" w:rsidRPr="00A10DC8">
        <w:rPr>
          <w:rStyle w:val="Refdenotaalpie"/>
          <w:rFonts w:asciiTheme="majorHAnsi" w:hAnsiTheme="majorHAnsi" w:cs="Segoe UI Emoji"/>
          <w:color w:val="000000"/>
          <w:sz w:val="24"/>
          <w:szCs w:val="24"/>
        </w:rPr>
        <w:footnoteReference w:id="25"/>
      </w:r>
      <w:r w:rsidRPr="00620A8B">
        <w:rPr>
          <w:rFonts w:asciiTheme="majorHAnsi" w:hAnsiTheme="majorHAnsi" w:cs="Segoe UI Emoji"/>
          <w:color w:val="000000"/>
          <w:sz w:val="24"/>
          <w:szCs w:val="24"/>
        </w:rPr>
        <w:t xml:space="preserve">. </w:t>
      </w:r>
    </w:p>
    <w:p w:rsidR="00620A8B" w:rsidRPr="00620A8B" w:rsidRDefault="00620A8B" w:rsidP="00620A8B">
      <w:pPr>
        <w:autoSpaceDE w:val="0"/>
        <w:autoSpaceDN w:val="0"/>
        <w:adjustRightInd w:val="0"/>
        <w:spacing w:after="240" w:line="240" w:lineRule="auto"/>
        <w:jc w:val="both"/>
        <w:rPr>
          <w:rFonts w:asciiTheme="majorHAnsi" w:hAnsiTheme="majorHAnsi" w:cs="Calibri"/>
          <w:color w:val="000000"/>
          <w:sz w:val="24"/>
          <w:szCs w:val="24"/>
        </w:rPr>
      </w:pPr>
      <w:r w:rsidRPr="00620A8B">
        <w:rPr>
          <w:rFonts w:asciiTheme="majorHAnsi" w:hAnsiTheme="majorHAnsi" w:cs="Calibri"/>
          <w:color w:val="000000"/>
          <w:sz w:val="24"/>
          <w:szCs w:val="24"/>
        </w:rPr>
        <w:t>Aunque existe una regulación desde el 2013, que intenta resolver el problema de la entrega insuficiente de los medicamentos, la misma no se aplica (Resolución 1604 de 2013 del Ministerio de Salud de Colombia</w:t>
      </w:r>
      <w:r w:rsidR="00745BAB" w:rsidRPr="00A10DC8">
        <w:rPr>
          <w:rStyle w:val="Refdenotaalpie"/>
          <w:rFonts w:asciiTheme="majorHAnsi" w:hAnsiTheme="majorHAnsi" w:cs="Calibri"/>
          <w:color w:val="000000"/>
          <w:sz w:val="24"/>
          <w:szCs w:val="24"/>
        </w:rPr>
        <w:footnoteReference w:id="26"/>
      </w:r>
      <w:r w:rsidRPr="00620A8B">
        <w:rPr>
          <w:rFonts w:asciiTheme="majorHAnsi" w:hAnsiTheme="majorHAnsi" w:cs="Calibri"/>
          <w:color w:val="000000"/>
          <w:sz w:val="24"/>
          <w:szCs w:val="24"/>
        </w:rPr>
        <w:t xml:space="preserve">). La buena intención del Ministerio quedó en el papel. No existe un Plan Nacional de Verificación, ni un Sistema de Monitoreo y Control de la Entrega de Medicamentos. </w:t>
      </w:r>
    </w:p>
    <w:p w:rsidR="00620A8B" w:rsidRPr="00620A8B" w:rsidRDefault="00620A8B" w:rsidP="00620A8B">
      <w:pPr>
        <w:autoSpaceDE w:val="0"/>
        <w:autoSpaceDN w:val="0"/>
        <w:adjustRightInd w:val="0"/>
        <w:spacing w:after="240" w:line="240" w:lineRule="auto"/>
        <w:jc w:val="both"/>
        <w:rPr>
          <w:rFonts w:asciiTheme="majorHAnsi" w:hAnsiTheme="majorHAnsi" w:cs="Calibri"/>
          <w:color w:val="000000"/>
          <w:sz w:val="24"/>
          <w:szCs w:val="24"/>
        </w:rPr>
      </w:pPr>
      <w:r w:rsidRPr="00620A8B">
        <w:rPr>
          <w:rFonts w:asciiTheme="majorHAnsi" w:hAnsiTheme="majorHAnsi" w:cs="Segoe UI Emoji"/>
          <w:color w:val="000000"/>
          <w:sz w:val="24"/>
          <w:szCs w:val="24"/>
        </w:rPr>
        <w:t xml:space="preserve">Para corregir esta situación es necesario fiscalizar el cumplimiento de la norma mencionada. Con ello, aumentaría significativamente la satisfacción de los usuarios, el sistema de salud ganaría en legitimidad y, si el efecto permite reducir el gasto de bolsillo en medicamentos, se aliviaría la presión sobre el ingreso de los hogares, sobre todo el de los más pobres. </w:t>
      </w:r>
    </w:p>
    <w:p w:rsidR="00620A8B" w:rsidRPr="00620A8B" w:rsidRDefault="00620A8B" w:rsidP="00620A8B">
      <w:pPr>
        <w:autoSpaceDE w:val="0"/>
        <w:autoSpaceDN w:val="0"/>
        <w:adjustRightInd w:val="0"/>
        <w:spacing w:after="240" w:line="240" w:lineRule="auto"/>
        <w:jc w:val="both"/>
        <w:rPr>
          <w:rFonts w:asciiTheme="majorHAnsi" w:hAnsiTheme="majorHAnsi" w:cs="Segoe UI Emoji"/>
          <w:color w:val="000000"/>
          <w:sz w:val="24"/>
          <w:szCs w:val="24"/>
        </w:rPr>
      </w:pPr>
      <w:r w:rsidRPr="00620A8B">
        <w:rPr>
          <w:rFonts w:asciiTheme="majorHAnsi" w:hAnsiTheme="majorHAnsi" w:cs="Segoe UI Emoji"/>
          <w:color w:val="000000"/>
          <w:sz w:val="24"/>
          <w:szCs w:val="24"/>
        </w:rPr>
        <w:t xml:space="preserve">Otra directiva que permitiría mejorar oportunidad y calidad en la entrega de medicamentos se refiere a integrar las cadenas comerciales de droguerías al sistema de salud, a través de redes de prestación de servicios farmacéuticos, con una </w:t>
      </w:r>
      <w:r w:rsidRPr="00620A8B">
        <w:rPr>
          <w:rFonts w:asciiTheme="majorHAnsi" w:hAnsiTheme="majorHAnsi" w:cs="Segoe UI Emoji"/>
          <w:color w:val="000000"/>
          <w:sz w:val="24"/>
          <w:szCs w:val="24"/>
        </w:rPr>
        <w:lastRenderedPageBreak/>
        <w:t xml:space="preserve">cobertura más amplia en zonas dispersas y periféricas. Esto significa que las llamadas droguerías de los pequeños municipios pudieran dispensar oportunamente los medicamentos prescritos por entidades del sistema de salud, cumpliendo requisitos adecuados de recurso humano calificado y de infraestructura y atención. Este enfoque prioriza el acceso a los medicamentos que requiere la población rural o que vive en las cabeceras municipales. </w:t>
      </w:r>
    </w:p>
    <w:p w:rsidR="00620A8B" w:rsidRPr="00620A8B" w:rsidRDefault="00620A8B" w:rsidP="00745BAB">
      <w:pPr>
        <w:autoSpaceDE w:val="0"/>
        <w:autoSpaceDN w:val="0"/>
        <w:adjustRightInd w:val="0"/>
        <w:spacing w:after="240" w:line="240" w:lineRule="auto"/>
        <w:jc w:val="both"/>
        <w:rPr>
          <w:rFonts w:asciiTheme="majorHAnsi" w:hAnsiTheme="majorHAnsi" w:cs="Segoe UI Emoji"/>
          <w:color w:val="000000"/>
          <w:sz w:val="24"/>
          <w:szCs w:val="24"/>
        </w:rPr>
      </w:pPr>
      <w:r w:rsidRPr="00620A8B">
        <w:rPr>
          <w:rFonts w:asciiTheme="majorHAnsi" w:hAnsiTheme="majorHAnsi" w:cs="Segoe UI Emoji"/>
          <w:color w:val="000000"/>
          <w:sz w:val="24"/>
          <w:szCs w:val="24"/>
        </w:rPr>
        <w:t>Conviene considerar de forma paralela a esta iniciativa la creación de una cultura de comportamientos saludables, que promueva la “</w:t>
      </w:r>
      <w:proofErr w:type="spellStart"/>
      <w:r w:rsidRPr="00620A8B">
        <w:rPr>
          <w:rFonts w:asciiTheme="majorHAnsi" w:hAnsiTheme="majorHAnsi" w:cs="Segoe UI Emoji"/>
          <w:color w:val="000000"/>
          <w:sz w:val="24"/>
          <w:szCs w:val="24"/>
        </w:rPr>
        <w:t>desmedicalización</w:t>
      </w:r>
      <w:proofErr w:type="spellEnd"/>
      <w:r w:rsidRPr="00620A8B">
        <w:rPr>
          <w:rFonts w:asciiTheme="majorHAnsi" w:hAnsiTheme="majorHAnsi" w:cs="Segoe UI Emoji"/>
          <w:color w:val="000000"/>
          <w:sz w:val="24"/>
          <w:szCs w:val="24"/>
        </w:rPr>
        <w:t xml:space="preserve">” y el desarrollo de estrategias que promuevan la solidaridad y la protección de los recursos públicos, para facilitar el objetivo de equidad en el acceso de los medicamentos y mejores resultados en salud (Ver numeral 3). </w:t>
      </w:r>
    </w:p>
    <w:p w:rsidR="00620A8B" w:rsidRPr="00620A8B" w:rsidRDefault="00620A8B" w:rsidP="00620A8B">
      <w:pPr>
        <w:autoSpaceDE w:val="0"/>
        <w:autoSpaceDN w:val="0"/>
        <w:adjustRightInd w:val="0"/>
        <w:spacing w:after="240" w:line="240" w:lineRule="auto"/>
        <w:jc w:val="both"/>
        <w:rPr>
          <w:rFonts w:asciiTheme="majorHAnsi" w:hAnsiTheme="majorHAnsi" w:cs="Calibri"/>
          <w:color w:val="000000"/>
          <w:sz w:val="24"/>
          <w:szCs w:val="24"/>
        </w:rPr>
      </w:pPr>
      <w:r w:rsidRPr="00620A8B">
        <w:rPr>
          <w:rFonts w:asciiTheme="majorHAnsi" w:hAnsiTheme="majorHAnsi" w:cs="Segoe UI Emoji"/>
          <w:color w:val="000000"/>
          <w:sz w:val="24"/>
          <w:szCs w:val="24"/>
        </w:rPr>
        <w:t xml:space="preserve">La escasez de medicamentos esenciales es un problema global. Un informe de la OMS, señala que alrededor de 21 países en el 2015, se vieron afectados por diversos problemas de abastecimiento oportuno. </w:t>
      </w:r>
    </w:p>
    <w:p w:rsidR="00620A8B" w:rsidRPr="00A10DC8" w:rsidRDefault="00620A8B" w:rsidP="00620A8B">
      <w:pPr>
        <w:autoSpaceDE w:val="0"/>
        <w:autoSpaceDN w:val="0"/>
        <w:adjustRightInd w:val="0"/>
        <w:spacing w:after="240" w:line="240" w:lineRule="auto"/>
        <w:jc w:val="both"/>
        <w:rPr>
          <w:rFonts w:asciiTheme="majorHAnsi" w:hAnsiTheme="majorHAnsi" w:cs="Segoe UI Emoji"/>
          <w:color w:val="000000"/>
          <w:sz w:val="24"/>
          <w:szCs w:val="24"/>
        </w:rPr>
      </w:pPr>
      <w:r w:rsidRPr="00620A8B">
        <w:rPr>
          <w:rFonts w:asciiTheme="majorHAnsi" w:hAnsiTheme="majorHAnsi" w:cs="Segoe UI Emoji"/>
          <w:color w:val="000000"/>
          <w:sz w:val="24"/>
          <w:szCs w:val="24"/>
        </w:rPr>
        <w:t>La OMS, sugiere que parte de esta problemática está vinculada a problemas de fabricación, a dificultades de la cadena de suministros y a fallas en la financiación de la atención de salud</w:t>
      </w:r>
      <w:r w:rsidR="00745BAB" w:rsidRPr="00A10DC8">
        <w:rPr>
          <w:rStyle w:val="Refdenotaalpie"/>
          <w:rFonts w:asciiTheme="majorHAnsi" w:hAnsiTheme="majorHAnsi" w:cs="Segoe UI Emoji"/>
          <w:color w:val="000000"/>
          <w:sz w:val="24"/>
          <w:szCs w:val="24"/>
        </w:rPr>
        <w:footnoteReference w:id="27"/>
      </w:r>
      <w:r w:rsidRPr="00620A8B">
        <w:rPr>
          <w:rFonts w:asciiTheme="majorHAnsi" w:hAnsiTheme="majorHAnsi" w:cs="Segoe UI Emoji"/>
          <w:color w:val="000000"/>
          <w:sz w:val="24"/>
          <w:szCs w:val="24"/>
        </w:rPr>
        <w:t>. Sin embargo, se reconoce que existen otras causas como el acelerado ritmo de ingreso de nuevos medicamentos al mercado, que desplazan medicamentos esenciales “antiguos” y de alta importancia en salud</w:t>
      </w:r>
      <w:r w:rsidR="00745BAB" w:rsidRPr="00A10DC8">
        <w:rPr>
          <w:rStyle w:val="Refdenotaalpie"/>
          <w:rFonts w:asciiTheme="majorHAnsi" w:hAnsiTheme="majorHAnsi" w:cs="Segoe UI Emoji"/>
          <w:color w:val="000000"/>
          <w:sz w:val="24"/>
          <w:szCs w:val="24"/>
        </w:rPr>
        <w:footnoteReference w:id="28"/>
      </w:r>
      <w:proofErr w:type="gramStart"/>
      <w:r w:rsidR="00745BAB" w:rsidRPr="00A10DC8">
        <w:rPr>
          <w:rFonts w:asciiTheme="majorHAnsi" w:hAnsiTheme="majorHAnsi" w:cs="Segoe UI Emoji"/>
          <w:color w:val="000000"/>
          <w:sz w:val="24"/>
          <w:szCs w:val="24"/>
        </w:rPr>
        <w:t>,</w:t>
      </w:r>
      <w:r w:rsidR="00745BAB" w:rsidRPr="00A10DC8">
        <w:rPr>
          <w:rStyle w:val="Refdenotaalpie"/>
          <w:rFonts w:asciiTheme="majorHAnsi" w:hAnsiTheme="majorHAnsi" w:cs="Segoe UI Emoji"/>
          <w:color w:val="000000"/>
          <w:sz w:val="24"/>
          <w:szCs w:val="24"/>
        </w:rPr>
        <w:footnoteReference w:id="29"/>
      </w:r>
      <w:r w:rsidRPr="00620A8B">
        <w:rPr>
          <w:rFonts w:asciiTheme="majorHAnsi" w:hAnsiTheme="majorHAnsi" w:cs="Segoe UI Emoji"/>
          <w:color w:val="000000"/>
          <w:sz w:val="24"/>
          <w:szCs w:val="24"/>
        </w:rPr>
        <w:t>.</w:t>
      </w:r>
      <w:proofErr w:type="gramEnd"/>
      <w:r w:rsidRPr="00620A8B">
        <w:rPr>
          <w:rFonts w:asciiTheme="majorHAnsi" w:hAnsiTheme="majorHAnsi" w:cs="Segoe UI Emoji"/>
          <w:color w:val="000000"/>
          <w:sz w:val="24"/>
          <w:szCs w:val="24"/>
        </w:rPr>
        <w:t xml:space="preserve"> </w:t>
      </w:r>
    </w:p>
    <w:p w:rsidR="00745BAB" w:rsidRPr="00A10DC8" w:rsidRDefault="00745BAB" w:rsidP="00745BAB">
      <w:pPr>
        <w:autoSpaceDE w:val="0"/>
        <w:autoSpaceDN w:val="0"/>
        <w:adjustRightInd w:val="0"/>
        <w:spacing w:after="240" w:line="240" w:lineRule="auto"/>
        <w:jc w:val="both"/>
        <w:rPr>
          <w:rFonts w:asciiTheme="majorHAnsi" w:hAnsiTheme="majorHAnsi" w:cs="Segoe UI Emoji"/>
          <w:color w:val="000000"/>
          <w:sz w:val="24"/>
          <w:szCs w:val="24"/>
        </w:rPr>
      </w:pPr>
      <w:r w:rsidRPr="00620A8B">
        <w:rPr>
          <w:rFonts w:asciiTheme="majorHAnsi" w:hAnsiTheme="majorHAnsi" w:cs="Segoe UI Emoji"/>
          <w:color w:val="000000"/>
          <w:sz w:val="24"/>
          <w:szCs w:val="24"/>
        </w:rPr>
        <w:t>En Colombia se han documentado 45 medicamentos desabastecidos desde el 2015 al 2017 en el país. El desabastecimiento ha sido temporal, pero en algunos casos se desabastecen periódicamente. En la actualidad el país afronta el desabastecimiento de diez medicamentos usados en el manejo del dolor en oncología, para la profilaxis en ginecología, para la artritis reumatoide y la psoriasis grave y para el manejo de urgencias cardiacas</w:t>
      </w:r>
      <w:r w:rsidRPr="00A10DC8">
        <w:rPr>
          <w:rStyle w:val="Refdenotaalpie"/>
          <w:rFonts w:asciiTheme="majorHAnsi" w:hAnsiTheme="majorHAnsi" w:cs="Segoe UI Emoji"/>
          <w:color w:val="000000"/>
          <w:sz w:val="24"/>
          <w:szCs w:val="24"/>
        </w:rPr>
        <w:footnoteReference w:id="30"/>
      </w:r>
      <w:r w:rsidRPr="00620A8B">
        <w:rPr>
          <w:rFonts w:asciiTheme="majorHAnsi" w:hAnsiTheme="majorHAnsi" w:cs="Segoe UI Emoji"/>
          <w:color w:val="000000"/>
          <w:sz w:val="24"/>
          <w:szCs w:val="24"/>
        </w:rPr>
        <w:t xml:space="preserve">. </w:t>
      </w:r>
    </w:p>
    <w:p w:rsidR="00745BAB" w:rsidRPr="00620A8B" w:rsidRDefault="00745BAB" w:rsidP="00620A8B">
      <w:pPr>
        <w:autoSpaceDE w:val="0"/>
        <w:autoSpaceDN w:val="0"/>
        <w:adjustRightInd w:val="0"/>
        <w:spacing w:after="240" w:line="240" w:lineRule="auto"/>
        <w:jc w:val="both"/>
        <w:rPr>
          <w:rFonts w:asciiTheme="majorHAnsi" w:hAnsiTheme="majorHAnsi" w:cs="Calibri"/>
          <w:color w:val="000000"/>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785"/>
      </w:tblGrid>
      <w:tr w:rsidR="00620A8B" w:rsidRPr="00620A8B" w:rsidTr="00745BAB">
        <w:trPr>
          <w:trHeight w:val="2753"/>
        </w:trPr>
        <w:tc>
          <w:tcPr>
            <w:tcW w:w="8785" w:type="dxa"/>
          </w:tcPr>
          <w:p w:rsidR="00745BAB" w:rsidRPr="00A10DC8" w:rsidRDefault="00745BAB" w:rsidP="00745BAB">
            <w:pPr>
              <w:autoSpaceDE w:val="0"/>
              <w:autoSpaceDN w:val="0"/>
              <w:adjustRightInd w:val="0"/>
              <w:spacing w:after="240" w:line="240" w:lineRule="auto"/>
              <w:jc w:val="center"/>
              <w:rPr>
                <w:rFonts w:asciiTheme="majorHAnsi" w:hAnsiTheme="majorHAnsi" w:cs="Segoe UI Emoji"/>
                <w:color w:val="000000"/>
                <w:sz w:val="24"/>
                <w:szCs w:val="24"/>
              </w:rPr>
            </w:pPr>
          </w:p>
          <w:p w:rsidR="00620A8B" w:rsidRPr="00620A8B" w:rsidRDefault="00620A8B" w:rsidP="00745BAB">
            <w:pPr>
              <w:autoSpaceDE w:val="0"/>
              <w:autoSpaceDN w:val="0"/>
              <w:adjustRightInd w:val="0"/>
              <w:spacing w:after="240" w:line="240" w:lineRule="auto"/>
              <w:jc w:val="center"/>
              <w:rPr>
                <w:rFonts w:asciiTheme="majorHAnsi" w:hAnsiTheme="majorHAnsi" w:cs="Segoe UI Emoji"/>
                <w:color w:val="000000"/>
                <w:sz w:val="24"/>
                <w:szCs w:val="24"/>
              </w:rPr>
            </w:pPr>
            <w:r w:rsidRPr="00620A8B">
              <w:rPr>
                <w:rFonts w:asciiTheme="majorHAnsi" w:hAnsiTheme="majorHAnsi" w:cs="Segoe UI Emoji"/>
                <w:color w:val="000000"/>
                <w:sz w:val="24"/>
                <w:szCs w:val="24"/>
              </w:rPr>
              <w:t>Propuestas</w:t>
            </w:r>
          </w:p>
          <w:p w:rsidR="00620A8B" w:rsidRPr="00A10DC8" w:rsidRDefault="00620A8B" w:rsidP="00745BAB">
            <w:pPr>
              <w:pStyle w:val="Prrafodelista"/>
              <w:numPr>
                <w:ilvl w:val="0"/>
                <w:numId w:val="1"/>
              </w:numPr>
              <w:autoSpaceDE w:val="0"/>
              <w:autoSpaceDN w:val="0"/>
              <w:adjustRightInd w:val="0"/>
              <w:spacing w:after="240" w:line="240" w:lineRule="auto"/>
              <w:jc w:val="both"/>
              <w:rPr>
                <w:rFonts w:asciiTheme="majorHAnsi" w:hAnsiTheme="majorHAnsi" w:cs="Calibri"/>
                <w:color w:val="000000"/>
                <w:sz w:val="24"/>
                <w:szCs w:val="24"/>
              </w:rPr>
            </w:pPr>
            <w:r w:rsidRPr="00A10DC8">
              <w:rPr>
                <w:rFonts w:asciiTheme="majorHAnsi" w:hAnsiTheme="majorHAnsi" w:cs="Segoe UI Emoji"/>
                <w:color w:val="000000"/>
                <w:sz w:val="24"/>
                <w:szCs w:val="24"/>
              </w:rPr>
              <w:t xml:space="preserve">Adelantar un Plan Nacional de Verificación de la entrega oportuna y completa de los medicamentos por parte de las EPS. </w:t>
            </w:r>
          </w:p>
          <w:p w:rsidR="00620A8B" w:rsidRPr="00A10DC8" w:rsidRDefault="00620A8B" w:rsidP="00745BAB">
            <w:pPr>
              <w:pStyle w:val="Prrafodelista"/>
              <w:numPr>
                <w:ilvl w:val="0"/>
                <w:numId w:val="1"/>
              </w:numPr>
              <w:autoSpaceDE w:val="0"/>
              <w:autoSpaceDN w:val="0"/>
              <w:adjustRightInd w:val="0"/>
              <w:spacing w:after="240" w:line="240" w:lineRule="auto"/>
              <w:jc w:val="both"/>
              <w:rPr>
                <w:rFonts w:asciiTheme="majorHAnsi" w:hAnsiTheme="majorHAnsi" w:cs="Calibri"/>
                <w:color w:val="000000"/>
                <w:sz w:val="24"/>
                <w:szCs w:val="24"/>
              </w:rPr>
            </w:pPr>
            <w:r w:rsidRPr="00A10DC8">
              <w:rPr>
                <w:rFonts w:asciiTheme="majorHAnsi" w:hAnsiTheme="majorHAnsi" w:cs="Segoe UI Emoji"/>
                <w:color w:val="000000"/>
                <w:sz w:val="24"/>
                <w:szCs w:val="24"/>
              </w:rPr>
              <w:t xml:space="preserve">Obligar a las EPS y a las farmacias/droguerías a publicar en un lugar visible del dispensario una declaración de los derechos de los usuarios que indique que: </w:t>
            </w:r>
          </w:p>
          <w:p w:rsidR="00620A8B" w:rsidRPr="00A10DC8" w:rsidRDefault="00620A8B" w:rsidP="00745BAB">
            <w:pPr>
              <w:pStyle w:val="Prrafodelista"/>
              <w:numPr>
                <w:ilvl w:val="0"/>
                <w:numId w:val="1"/>
              </w:numPr>
              <w:autoSpaceDE w:val="0"/>
              <w:autoSpaceDN w:val="0"/>
              <w:adjustRightInd w:val="0"/>
              <w:spacing w:after="240" w:line="240" w:lineRule="auto"/>
              <w:jc w:val="both"/>
              <w:rPr>
                <w:rFonts w:asciiTheme="majorHAnsi" w:hAnsiTheme="majorHAnsi" w:cs="Calibri"/>
                <w:color w:val="000000"/>
                <w:sz w:val="24"/>
                <w:szCs w:val="24"/>
              </w:rPr>
            </w:pPr>
            <w:r w:rsidRPr="00A10DC8">
              <w:rPr>
                <w:rFonts w:asciiTheme="majorHAnsi" w:hAnsiTheme="majorHAnsi" w:cs="Segoe UI Emoji"/>
                <w:color w:val="000000"/>
                <w:sz w:val="24"/>
                <w:szCs w:val="24"/>
              </w:rPr>
              <w:t xml:space="preserve">Si el medicamento no está disponible, la EPS se lo enviará a su casa o lugar de trabajo en menos de 48 horas. </w:t>
            </w:r>
          </w:p>
          <w:p w:rsidR="00620A8B" w:rsidRPr="00A10DC8" w:rsidRDefault="00620A8B" w:rsidP="00745BAB">
            <w:pPr>
              <w:pStyle w:val="Prrafodelista"/>
              <w:numPr>
                <w:ilvl w:val="0"/>
                <w:numId w:val="1"/>
              </w:numPr>
              <w:autoSpaceDE w:val="0"/>
              <w:autoSpaceDN w:val="0"/>
              <w:adjustRightInd w:val="0"/>
              <w:spacing w:after="240" w:line="240" w:lineRule="auto"/>
              <w:jc w:val="both"/>
              <w:rPr>
                <w:rFonts w:asciiTheme="majorHAnsi" w:hAnsiTheme="majorHAnsi" w:cs="Calibri"/>
                <w:color w:val="000000"/>
                <w:sz w:val="24"/>
                <w:szCs w:val="24"/>
              </w:rPr>
            </w:pPr>
            <w:r w:rsidRPr="00A10DC8">
              <w:rPr>
                <w:rFonts w:asciiTheme="majorHAnsi" w:hAnsiTheme="majorHAnsi" w:cs="Segoe UI Emoji"/>
                <w:color w:val="000000"/>
                <w:sz w:val="24"/>
                <w:szCs w:val="24"/>
              </w:rPr>
              <w:t xml:space="preserve">El ciudadano debe recibir sus medicamentos en un tiempo de espera no superior a una hora. </w:t>
            </w:r>
          </w:p>
          <w:p w:rsidR="00620A8B" w:rsidRPr="00A10DC8" w:rsidRDefault="00620A8B" w:rsidP="00745BAB">
            <w:pPr>
              <w:pStyle w:val="Prrafodelista"/>
              <w:numPr>
                <w:ilvl w:val="0"/>
                <w:numId w:val="1"/>
              </w:numPr>
              <w:autoSpaceDE w:val="0"/>
              <w:autoSpaceDN w:val="0"/>
              <w:adjustRightInd w:val="0"/>
              <w:spacing w:after="240" w:line="240" w:lineRule="auto"/>
              <w:jc w:val="both"/>
              <w:rPr>
                <w:rFonts w:asciiTheme="majorHAnsi" w:hAnsiTheme="majorHAnsi" w:cs="Calibri"/>
                <w:color w:val="000000"/>
                <w:sz w:val="24"/>
                <w:szCs w:val="24"/>
              </w:rPr>
            </w:pPr>
            <w:r w:rsidRPr="00A10DC8">
              <w:rPr>
                <w:rFonts w:asciiTheme="majorHAnsi" w:hAnsiTheme="majorHAnsi" w:cs="Segoe UI Emoji"/>
                <w:color w:val="000000"/>
                <w:sz w:val="24"/>
                <w:szCs w:val="24"/>
              </w:rPr>
              <w:t xml:space="preserve">Exigir a las EPS que dispongan de al menos un dispensario de medicamentos en cada municipio donde residan los usuarios afiliados y hacer esfuerzos por vincular a las droguerías y farmacias comerciales al sistema de salud. Cuando no existan farmacias y droguerías comerciales que cumplan esta función, la EPS deben enviar los medicamentos al municipio donde reside el usuario. </w:t>
            </w:r>
          </w:p>
          <w:p w:rsidR="00620A8B" w:rsidRPr="00A10DC8" w:rsidRDefault="00620A8B" w:rsidP="00620A8B">
            <w:pPr>
              <w:pStyle w:val="Prrafodelista"/>
              <w:numPr>
                <w:ilvl w:val="0"/>
                <w:numId w:val="1"/>
              </w:numPr>
              <w:autoSpaceDE w:val="0"/>
              <w:autoSpaceDN w:val="0"/>
              <w:adjustRightInd w:val="0"/>
              <w:spacing w:after="240" w:line="240" w:lineRule="auto"/>
              <w:jc w:val="both"/>
              <w:rPr>
                <w:rFonts w:asciiTheme="majorHAnsi" w:hAnsiTheme="majorHAnsi" w:cs="Calibri"/>
                <w:color w:val="000000"/>
                <w:sz w:val="24"/>
                <w:szCs w:val="24"/>
              </w:rPr>
            </w:pPr>
            <w:r w:rsidRPr="00A10DC8">
              <w:rPr>
                <w:rFonts w:asciiTheme="majorHAnsi" w:hAnsiTheme="majorHAnsi" w:cs="Segoe UI Emoji"/>
                <w:color w:val="000000"/>
                <w:sz w:val="24"/>
                <w:szCs w:val="24"/>
              </w:rPr>
              <w:t xml:space="preserve">Desarrollar los mecanismos que permitan resolver los casos de medicamentos desabastecidos, que incluyan: </w:t>
            </w:r>
          </w:p>
        </w:tc>
      </w:tr>
    </w:tbl>
    <w:p w:rsidR="00620A8B" w:rsidRPr="00A10DC8" w:rsidRDefault="00620A8B" w:rsidP="00745BAB">
      <w:pPr>
        <w:spacing w:after="240" w:line="240" w:lineRule="auto"/>
        <w:jc w:val="both"/>
        <w:rPr>
          <w:rFonts w:asciiTheme="majorHAnsi" w:hAnsiTheme="majorHAnsi"/>
          <w:sz w:val="24"/>
          <w:szCs w:val="24"/>
        </w:rPr>
      </w:pPr>
    </w:p>
    <w:p w:rsidR="004F2839" w:rsidRPr="004F2839" w:rsidRDefault="004F2839" w:rsidP="004F2839">
      <w:pPr>
        <w:autoSpaceDE w:val="0"/>
        <w:autoSpaceDN w:val="0"/>
        <w:adjustRightInd w:val="0"/>
        <w:spacing w:after="0" w:line="240" w:lineRule="auto"/>
        <w:rPr>
          <w:rFonts w:asciiTheme="majorHAnsi" w:hAnsiTheme="majorHAnsi" w:cs="Segoe UI Emoji"/>
          <w:b/>
          <w:color w:val="000000"/>
          <w:sz w:val="24"/>
          <w:szCs w:val="24"/>
        </w:rPr>
      </w:pPr>
    </w:p>
    <w:p w:rsidR="004F2839" w:rsidRPr="004F2839" w:rsidRDefault="004F2839" w:rsidP="004F2839">
      <w:pPr>
        <w:autoSpaceDE w:val="0"/>
        <w:autoSpaceDN w:val="0"/>
        <w:adjustRightInd w:val="0"/>
        <w:spacing w:after="120" w:line="240" w:lineRule="auto"/>
        <w:jc w:val="both"/>
        <w:rPr>
          <w:rFonts w:asciiTheme="majorHAnsi" w:hAnsiTheme="majorHAnsi" w:cs="Segoe UI Emoji"/>
          <w:color w:val="000000"/>
          <w:sz w:val="24"/>
          <w:szCs w:val="24"/>
        </w:rPr>
      </w:pPr>
      <w:r w:rsidRPr="004F2839">
        <w:rPr>
          <w:rFonts w:asciiTheme="majorHAnsi" w:hAnsiTheme="majorHAnsi" w:cs="Segoe UI Emoji"/>
          <w:b/>
          <w:color w:val="000000"/>
          <w:sz w:val="24"/>
          <w:szCs w:val="24"/>
        </w:rPr>
        <w:t>3. "Uso óptimo de medicamentos y cero desperdicio":</w:t>
      </w:r>
      <w:r w:rsidRPr="004F2839">
        <w:rPr>
          <w:rFonts w:asciiTheme="majorHAnsi" w:hAnsiTheme="majorHAnsi" w:cs="Segoe UI Emoji"/>
          <w:color w:val="000000"/>
          <w:sz w:val="24"/>
          <w:szCs w:val="24"/>
        </w:rPr>
        <w:t xml:space="preserve"> intervenciones e incentivos para promover la </w:t>
      </w:r>
      <w:proofErr w:type="spellStart"/>
      <w:r w:rsidRPr="004F2839">
        <w:rPr>
          <w:rFonts w:asciiTheme="majorHAnsi" w:hAnsiTheme="majorHAnsi" w:cs="Segoe UI Emoji"/>
          <w:color w:val="000000"/>
          <w:sz w:val="24"/>
          <w:szCs w:val="24"/>
        </w:rPr>
        <w:t>desmedicalización</w:t>
      </w:r>
      <w:proofErr w:type="spellEnd"/>
      <w:r w:rsidRPr="004F2839">
        <w:rPr>
          <w:rFonts w:asciiTheme="majorHAnsi" w:hAnsiTheme="majorHAnsi" w:cs="Segoe UI Emoji"/>
          <w:color w:val="000000"/>
          <w:sz w:val="24"/>
          <w:szCs w:val="24"/>
        </w:rPr>
        <w:t xml:space="preserve">, los hábitos de vida saludables, la protección del medio ambiente y para reducir la ineficiencia en el gasto público. </w:t>
      </w:r>
    </w:p>
    <w:p w:rsidR="004F2839" w:rsidRPr="004F2839" w:rsidRDefault="004F2839" w:rsidP="004F2839">
      <w:pPr>
        <w:autoSpaceDE w:val="0"/>
        <w:autoSpaceDN w:val="0"/>
        <w:adjustRightInd w:val="0"/>
        <w:spacing w:after="120" w:line="240" w:lineRule="auto"/>
        <w:jc w:val="both"/>
        <w:rPr>
          <w:rFonts w:asciiTheme="majorHAnsi" w:hAnsiTheme="majorHAnsi" w:cs="Segoe UI Emoji"/>
          <w:color w:val="000000"/>
          <w:sz w:val="24"/>
          <w:szCs w:val="24"/>
        </w:rPr>
      </w:pPr>
      <w:r w:rsidRPr="004F2839">
        <w:rPr>
          <w:rFonts w:asciiTheme="majorHAnsi" w:hAnsiTheme="majorHAnsi" w:cs="Calibri"/>
          <w:color w:val="000000"/>
          <w:sz w:val="24"/>
          <w:szCs w:val="24"/>
        </w:rPr>
        <w:t xml:space="preserve">Las propuestas de este apartado incluyen estrategias educativas independientes de la industria farmacéutica, protección de los recursos públicos, compromiso con la sostenibilidad ambiental y fortalecimiento institucional. </w:t>
      </w:r>
    </w:p>
    <w:p w:rsidR="004F2839" w:rsidRPr="004F2839" w:rsidRDefault="004F2839" w:rsidP="004F2839">
      <w:pPr>
        <w:autoSpaceDE w:val="0"/>
        <w:autoSpaceDN w:val="0"/>
        <w:adjustRightInd w:val="0"/>
        <w:spacing w:after="120" w:line="240" w:lineRule="auto"/>
        <w:jc w:val="both"/>
        <w:rPr>
          <w:rFonts w:asciiTheme="majorHAnsi" w:hAnsiTheme="majorHAnsi" w:cs="Segoe UI Emoji"/>
          <w:b/>
          <w:color w:val="000000"/>
          <w:sz w:val="24"/>
          <w:szCs w:val="24"/>
        </w:rPr>
      </w:pPr>
      <w:r w:rsidRPr="004F2839">
        <w:rPr>
          <w:rFonts w:asciiTheme="majorHAnsi" w:hAnsiTheme="majorHAnsi" w:cs="Segoe UI Emoji"/>
          <w:b/>
          <w:color w:val="000000"/>
          <w:sz w:val="24"/>
          <w:szCs w:val="24"/>
        </w:rPr>
        <w:t xml:space="preserve">Problemática, cifras y estudios que sustentan este componente </w:t>
      </w:r>
    </w:p>
    <w:p w:rsidR="004F2839" w:rsidRPr="004F2839" w:rsidRDefault="004F2839" w:rsidP="004F2839">
      <w:pPr>
        <w:autoSpaceDE w:val="0"/>
        <w:autoSpaceDN w:val="0"/>
        <w:adjustRightInd w:val="0"/>
        <w:spacing w:after="120" w:line="240" w:lineRule="auto"/>
        <w:jc w:val="both"/>
        <w:rPr>
          <w:rFonts w:asciiTheme="majorHAnsi" w:hAnsiTheme="majorHAnsi" w:cs="Segoe UI Emoji"/>
          <w:color w:val="000000"/>
          <w:sz w:val="24"/>
          <w:szCs w:val="24"/>
        </w:rPr>
      </w:pPr>
      <w:r w:rsidRPr="004F2839">
        <w:rPr>
          <w:rFonts w:asciiTheme="majorHAnsi" w:hAnsiTheme="majorHAnsi" w:cs="Segoe UI Emoji"/>
          <w:color w:val="000000"/>
          <w:sz w:val="24"/>
          <w:szCs w:val="24"/>
        </w:rPr>
        <w:t>Según el enfoque de determinantes sociales de la salud de la Organización Mundial de la Salud (OMS)</w:t>
      </w:r>
      <w:r w:rsidRPr="00A10DC8">
        <w:rPr>
          <w:rStyle w:val="Refdenotaalpie"/>
          <w:rFonts w:asciiTheme="majorHAnsi" w:hAnsiTheme="majorHAnsi" w:cs="Segoe UI Emoji"/>
          <w:color w:val="000000"/>
          <w:sz w:val="24"/>
          <w:szCs w:val="24"/>
        </w:rPr>
        <w:footnoteReference w:id="31"/>
      </w:r>
      <w:r w:rsidRPr="004F2839">
        <w:rPr>
          <w:rFonts w:asciiTheme="majorHAnsi" w:hAnsiTheme="majorHAnsi" w:cs="Segoe UI Emoji"/>
          <w:color w:val="000000"/>
          <w:sz w:val="24"/>
          <w:szCs w:val="24"/>
        </w:rPr>
        <w:t xml:space="preserve">, una proporción muy importante del estado de salud de las personas se asocia con factores estructurales socio-económicos y culturales, mientras otra porción está determinada por factores intermedios, asociados con los hábitos de vida y de consumo y con los servicios de salud. </w:t>
      </w:r>
    </w:p>
    <w:p w:rsidR="004F2839" w:rsidRPr="004F2839" w:rsidRDefault="004F2839" w:rsidP="004F2839">
      <w:pPr>
        <w:autoSpaceDE w:val="0"/>
        <w:autoSpaceDN w:val="0"/>
        <w:adjustRightInd w:val="0"/>
        <w:spacing w:after="120" w:line="240" w:lineRule="auto"/>
        <w:jc w:val="both"/>
        <w:rPr>
          <w:rFonts w:asciiTheme="majorHAnsi" w:hAnsiTheme="majorHAnsi" w:cs="Segoe UI Emoji"/>
          <w:color w:val="000000"/>
          <w:sz w:val="24"/>
          <w:szCs w:val="24"/>
        </w:rPr>
      </w:pPr>
    </w:p>
    <w:p w:rsidR="004F2839" w:rsidRPr="004F2839" w:rsidRDefault="004F2839" w:rsidP="004F2839">
      <w:pPr>
        <w:autoSpaceDE w:val="0"/>
        <w:autoSpaceDN w:val="0"/>
        <w:adjustRightInd w:val="0"/>
        <w:spacing w:after="120" w:line="240" w:lineRule="auto"/>
        <w:jc w:val="both"/>
        <w:rPr>
          <w:rFonts w:asciiTheme="majorHAnsi" w:hAnsiTheme="majorHAnsi" w:cs="Segoe UI Emoji"/>
          <w:color w:val="000000"/>
          <w:sz w:val="24"/>
          <w:szCs w:val="24"/>
        </w:rPr>
      </w:pPr>
      <w:r w:rsidRPr="004F2839">
        <w:rPr>
          <w:rFonts w:asciiTheme="majorHAnsi" w:hAnsiTheme="majorHAnsi" w:cs="Segoe UI Emoji"/>
          <w:color w:val="000000"/>
          <w:sz w:val="24"/>
          <w:szCs w:val="24"/>
        </w:rPr>
        <w:t xml:space="preserve">Aunque la relación entre los determinantes de la salud y el estado de salud es compleja a muchos niveles diferentes; hay aspectos como la excesiva medicalización y los hábitos no saludables que podrían ser modificables si existe voluntad individual, institucional e inversión de recursos para reducir su carga epidemiológica. </w:t>
      </w:r>
    </w:p>
    <w:p w:rsidR="004F2839" w:rsidRPr="004F2839" w:rsidRDefault="004F2839" w:rsidP="004F2839">
      <w:pPr>
        <w:autoSpaceDE w:val="0"/>
        <w:autoSpaceDN w:val="0"/>
        <w:adjustRightInd w:val="0"/>
        <w:spacing w:after="120" w:line="240" w:lineRule="auto"/>
        <w:jc w:val="both"/>
        <w:rPr>
          <w:rFonts w:asciiTheme="majorHAnsi" w:hAnsiTheme="majorHAnsi" w:cs="Segoe UI Emoji"/>
          <w:color w:val="000000"/>
          <w:sz w:val="24"/>
          <w:szCs w:val="24"/>
        </w:rPr>
      </w:pPr>
      <w:r w:rsidRPr="004F2839">
        <w:rPr>
          <w:rFonts w:asciiTheme="majorHAnsi" w:hAnsiTheme="majorHAnsi" w:cs="Segoe UI Emoji"/>
          <w:color w:val="000000"/>
          <w:sz w:val="24"/>
          <w:szCs w:val="24"/>
        </w:rPr>
        <w:t xml:space="preserve">Una expresión de esta complejidad es el uso inapropiado de medicamentos, el cual incluye el uso excesivo, los errores de medicación y el acceso insuficiente a los mismos. Los problemas de acceso suelen capturar la atención de los medios, pero los otros problemas pueden ser de un impacto tan grande o mayor. </w:t>
      </w:r>
    </w:p>
    <w:p w:rsidR="00703EB2" w:rsidRPr="00A10DC8" w:rsidRDefault="004F2839" w:rsidP="00703EB2">
      <w:pPr>
        <w:pStyle w:val="Default"/>
        <w:spacing w:after="120"/>
        <w:jc w:val="both"/>
        <w:rPr>
          <w:rFonts w:asciiTheme="majorHAnsi" w:hAnsiTheme="majorHAnsi" w:cs="Segoe UI Emoji"/>
        </w:rPr>
      </w:pPr>
      <w:r w:rsidRPr="00A10DC8">
        <w:rPr>
          <w:rFonts w:asciiTheme="majorHAnsi" w:hAnsiTheme="majorHAnsi" w:cs="Segoe UI Emoji"/>
        </w:rPr>
        <w:t>Por ejemplo, los errores de medicación</w:t>
      </w:r>
      <w:r w:rsidRPr="00A10DC8">
        <w:rPr>
          <w:rStyle w:val="Refdenotaalpie"/>
          <w:rFonts w:asciiTheme="majorHAnsi" w:hAnsiTheme="majorHAnsi" w:cs="Segoe UI Emoji"/>
        </w:rPr>
        <w:footnoteReference w:id="32"/>
      </w:r>
      <w:r w:rsidRPr="00A10DC8">
        <w:rPr>
          <w:rFonts w:asciiTheme="majorHAnsi" w:hAnsiTheme="majorHAnsi" w:cs="Segoe UI Emoji"/>
        </w:rPr>
        <w:t xml:space="preserve"> constituyen un gran desafío para los sistemas de salud en todo el mundo. En Estados Unidos estos errores causan la muerte de una persona al día y dañan a 1,3 millones de personas al año. Según la OMS, en países menos desarrollados se estima que el</w:t>
      </w:r>
      <w:r w:rsidR="00703EB2" w:rsidRPr="00A10DC8">
        <w:rPr>
          <w:rFonts w:asciiTheme="majorHAnsi" w:hAnsiTheme="majorHAnsi" w:cs="Segoe UI Emoji"/>
        </w:rPr>
        <w:t xml:space="preserve"> impacto es dos veces mayor en términos de años de vida saludable perdidos. El costo mundial de los errores de medicación se estima en 42000 billones de dólares al año, cerca del 1% del gasto sanitario mundial. Por esta razón se ha establecido el mensaje de promover una “Medicación sin daño” con la meta de reducir en un 50% en los próximos 5 años el daño evitable severo relacionado con la medicación</w:t>
      </w:r>
      <w:r w:rsidR="000A4626" w:rsidRPr="00A10DC8">
        <w:rPr>
          <w:rStyle w:val="Refdenotaalpie"/>
          <w:rFonts w:asciiTheme="majorHAnsi" w:hAnsiTheme="majorHAnsi" w:cs="Segoe UI Emoji"/>
        </w:rPr>
        <w:footnoteReference w:id="33"/>
      </w:r>
      <w:r w:rsidR="00703EB2" w:rsidRPr="00A10DC8">
        <w:rPr>
          <w:rFonts w:asciiTheme="majorHAnsi" w:hAnsiTheme="majorHAnsi" w:cs="Segoe UI Emoji"/>
        </w:rPr>
        <w:t xml:space="preserve">. </w:t>
      </w:r>
    </w:p>
    <w:p w:rsidR="00703EB2" w:rsidRPr="00703EB2" w:rsidRDefault="00703EB2" w:rsidP="00703EB2">
      <w:pPr>
        <w:autoSpaceDE w:val="0"/>
        <w:autoSpaceDN w:val="0"/>
        <w:adjustRightInd w:val="0"/>
        <w:spacing w:after="120" w:line="240" w:lineRule="auto"/>
        <w:jc w:val="both"/>
        <w:rPr>
          <w:rFonts w:asciiTheme="majorHAnsi" w:hAnsiTheme="majorHAnsi" w:cs="Segoe UI Emoji"/>
          <w:color w:val="000000"/>
          <w:sz w:val="24"/>
          <w:szCs w:val="24"/>
        </w:rPr>
      </w:pPr>
      <w:r w:rsidRPr="00703EB2">
        <w:rPr>
          <w:rFonts w:asciiTheme="majorHAnsi" w:hAnsiTheme="majorHAnsi" w:cs="Segoe UI Emoji"/>
          <w:color w:val="000000"/>
          <w:sz w:val="24"/>
          <w:szCs w:val="24"/>
        </w:rPr>
        <w:t xml:space="preserve">El grupo poblacional con más problemas con sus medicamentos son los pacientes ancianos, quienes tienen una prevalencia de </w:t>
      </w:r>
      <w:proofErr w:type="spellStart"/>
      <w:r w:rsidRPr="00703EB2">
        <w:rPr>
          <w:rFonts w:asciiTheme="majorHAnsi" w:hAnsiTheme="majorHAnsi" w:cs="Segoe UI Emoji"/>
          <w:color w:val="000000"/>
          <w:sz w:val="24"/>
          <w:szCs w:val="24"/>
        </w:rPr>
        <w:t>multi</w:t>
      </w:r>
      <w:proofErr w:type="spellEnd"/>
      <w:r w:rsidRPr="00703EB2">
        <w:rPr>
          <w:rFonts w:asciiTheme="majorHAnsi" w:hAnsiTheme="majorHAnsi" w:cs="Segoe UI Emoji"/>
          <w:color w:val="000000"/>
          <w:sz w:val="24"/>
          <w:szCs w:val="24"/>
        </w:rPr>
        <w:t>-morbilidad del 55% al 98%</w:t>
      </w:r>
      <w:r w:rsidR="000A4626" w:rsidRPr="00A10DC8">
        <w:rPr>
          <w:rStyle w:val="Refdenotaalpie"/>
          <w:rFonts w:asciiTheme="majorHAnsi" w:hAnsiTheme="majorHAnsi" w:cs="Segoe UI Emoji"/>
          <w:color w:val="000000"/>
          <w:sz w:val="24"/>
          <w:szCs w:val="24"/>
        </w:rPr>
        <w:footnoteReference w:id="34"/>
      </w:r>
      <w:r w:rsidRPr="00703EB2">
        <w:rPr>
          <w:rFonts w:asciiTheme="majorHAnsi" w:hAnsiTheme="majorHAnsi" w:cs="Segoe UI Emoji"/>
          <w:color w:val="000000"/>
          <w:sz w:val="24"/>
          <w:szCs w:val="24"/>
        </w:rPr>
        <w:t>, situación que condiciona la polifarmacia (consumo habitual de más de 4 medicamentos)</w:t>
      </w:r>
      <w:r w:rsidR="000A4626" w:rsidRPr="00A10DC8">
        <w:rPr>
          <w:rStyle w:val="Refdenotaalpie"/>
          <w:rFonts w:asciiTheme="majorHAnsi" w:hAnsiTheme="majorHAnsi" w:cs="Segoe UI Emoji"/>
          <w:color w:val="000000"/>
          <w:sz w:val="24"/>
          <w:szCs w:val="24"/>
        </w:rPr>
        <w:footnoteReference w:id="35"/>
      </w:r>
      <w:r w:rsidR="000A4626" w:rsidRPr="00A10DC8">
        <w:rPr>
          <w:rFonts w:asciiTheme="majorHAnsi" w:hAnsiTheme="majorHAnsi" w:cs="Segoe UI Emoji"/>
          <w:color w:val="000000"/>
          <w:sz w:val="24"/>
          <w:szCs w:val="24"/>
        </w:rPr>
        <w:t>,</w:t>
      </w:r>
      <w:r w:rsidR="000A4626" w:rsidRPr="00A10DC8">
        <w:rPr>
          <w:rStyle w:val="Refdenotaalpie"/>
          <w:rFonts w:asciiTheme="majorHAnsi" w:hAnsiTheme="majorHAnsi" w:cs="Segoe UI Emoji"/>
          <w:color w:val="000000"/>
          <w:sz w:val="24"/>
          <w:szCs w:val="24"/>
        </w:rPr>
        <w:footnoteReference w:id="36"/>
      </w:r>
      <w:r w:rsidRPr="00703EB2">
        <w:rPr>
          <w:rFonts w:asciiTheme="majorHAnsi" w:hAnsiTheme="majorHAnsi" w:cs="Segoe UI Emoji"/>
          <w:color w:val="000000"/>
          <w:sz w:val="24"/>
          <w:szCs w:val="24"/>
        </w:rPr>
        <w:t xml:space="preserve"> y la necesidad de desarrollar herramientas de apoyo para gestionar adecuadamente sus medicamentos en el hogar e interrumpir medicamentos innecesarios. </w:t>
      </w:r>
    </w:p>
    <w:p w:rsidR="00703EB2" w:rsidRPr="00703EB2" w:rsidRDefault="00703EB2" w:rsidP="00703EB2">
      <w:pPr>
        <w:autoSpaceDE w:val="0"/>
        <w:autoSpaceDN w:val="0"/>
        <w:adjustRightInd w:val="0"/>
        <w:spacing w:after="120" w:line="240" w:lineRule="auto"/>
        <w:jc w:val="both"/>
        <w:rPr>
          <w:rFonts w:asciiTheme="majorHAnsi" w:hAnsiTheme="majorHAnsi" w:cs="Segoe UI Emoji"/>
          <w:color w:val="000000"/>
          <w:sz w:val="24"/>
          <w:szCs w:val="24"/>
        </w:rPr>
      </w:pPr>
      <w:r w:rsidRPr="00703EB2">
        <w:rPr>
          <w:rFonts w:asciiTheme="majorHAnsi" w:hAnsiTheme="majorHAnsi" w:cs="Segoe UI Emoji"/>
          <w:color w:val="000000"/>
          <w:sz w:val="24"/>
          <w:szCs w:val="24"/>
        </w:rPr>
        <w:t>Un grupo de investigación colombiano recopiló información de 8 años, en 71 lugares del país y encontró más de catorce mil errores de medicación. Entre las causas de los errores encontraron problemas en la interpretación de la fórmula médica (16%), confusión de medicamentos (12%) y problemas en el etiquetado de los medicamentos (4%)</w:t>
      </w:r>
      <w:r w:rsidR="000A4626" w:rsidRPr="00A10DC8">
        <w:rPr>
          <w:rStyle w:val="Refdenotaalpie"/>
          <w:rFonts w:asciiTheme="majorHAnsi" w:hAnsiTheme="majorHAnsi" w:cs="Segoe UI Emoji"/>
          <w:color w:val="000000"/>
          <w:sz w:val="24"/>
          <w:szCs w:val="24"/>
        </w:rPr>
        <w:footnoteReference w:id="37"/>
      </w:r>
      <w:r w:rsidRPr="00703EB2">
        <w:rPr>
          <w:rFonts w:asciiTheme="majorHAnsi" w:hAnsiTheme="majorHAnsi" w:cs="Segoe UI Emoji"/>
          <w:color w:val="000000"/>
          <w:sz w:val="24"/>
          <w:szCs w:val="24"/>
        </w:rPr>
        <w:t xml:space="preserve">. </w:t>
      </w:r>
    </w:p>
    <w:p w:rsidR="00703EB2" w:rsidRPr="00703EB2" w:rsidRDefault="00703EB2" w:rsidP="00703EB2">
      <w:pPr>
        <w:autoSpaceDE w:val="0"/>
        <w:autoSpaceDN w:val="0"/>
        <w:adjustRightInd w:val="0"/>
        <w:spacing w:after="120" w:line="240" w:lineRule="auto"/>
        <w:jc w:val="both"/>
        <w:rPr>
          <w:rFonts w:asciiTheme="majorHAnsi" w:hAnsiTheme="majorHAnsi" w:cs="Segoe UI Emoji"/>
          <w:color w:val="000000"/>
          <w:sz w:val="24"/>
          <w:szCs w:val="24"/>
        </w:rPr>
      </w:pPr>
      <w:r w:rsidRPr="00703EB2">
        <w:rPr>
          <w:rFonts w:asciiTheme="majorHAnsi" w:hAnsiTheme="majorHAnsi" w:cs="Segoe UI Emoji"/>
          <w:color w:val="000000"/>
          <w:sz w:val="24"/>
          <w:szCs w:val="24"/>
        </w:rPr>
        <w:t>La confusión de medicamentos puede asociarse a la similitud en la apariencia física de los medicamentos. Por esto la Sociedad Española de Farmacia Hospitalaria (SEFH) y otras organizaciones recomienda que NO se permitan medicamentos con envases o etiquetas similares, nombres comerciales homófonos o parecidos al escribirse</w:t>
      </w:r>
      <w:r w:rsidR="000A4626" w:rsidRPr="00A10DC8">
        <w:rPr>
          <w:rStyle w:val="Refdenotaalpie"/>
          <w:rFonts w:asciiTheme="majorHAnsi" w:hAnsiTheme="majorHAnsi" w:cs="Segoe UI Emoji"/>
          <w:color w:val="000000"/>
          <w:sz w:val="24"/>
          <w:szCs w:val="24"/>
        </w:rPr>
        <w:footnoteReference w:id="38"/>
      </w:r>
      <w:r w:rsidRPr="00703EB2">
        <w:rPr>
          <w:rFonts w:asciiTheme="majorHAnsi" w:hAnsiTheme="majorHAnsi" w:cs="Segoe UI Emoji"/>
          <w:color w:val="000000"/>
          <w:sz w:val="24"/>
          <w:szCs w:val="24"/>
        </w:rPr>
        <w:t xml:space="preserve">. </w:t>
      </w:r>
    </w:p>
    <w:p w:rsidR="00703EB2" w:rsidRPr="00703EB2" w:rsidRDefault="00703EB2" w:rsidP="00703EB2">
      <w:pPr>
        <w:autoSpaceDE w:val="0"/>
        <w:autoSpaceDN w:val="0"/>
        <w:adjustRightInd w:val="0"/>
        <w:spacing w:after="120" w:line="240" w:lineRule="auto"/>
        <w:jc w:val="both"/>
        <w:rPr>
          <w:rFonts w:asciiTheme="majorHAnsi" w:hAnsiTheme="majorHAnsi" w:cs="Segoe UI Emoji"/>
          <w:color w:val="000000"/>
          <w:sz w:val="24"/>
          <w:szCs w:val="24"/>
        </w:rPr>
      </w:pPr>
      <w:r w:rsidRPr="00703EB2">
        <w:rPr>
          <w:rFonts w:asciiTheme="majorHAnsi" w:hAnsiTheme="majorHAnsi" w:cs="Segoe UI Emoji"/>
          <w:color w:val="000000"/>
          <w:sz w:val="24"/>
          <w:szCs w:val="24"/>
        </w:rPr>
        <w:lastRenderedPageBreak/>
        <w:t xml:space="preserve">Se propone que el INVIMA adelante un programa de etiquetado novedoso, con enfoque de riesgo, de los medicamentos para evitar las confusiones, tomando como ejemplo la iniciativa que adelantan algunos laboratorios farmacéuticos nacionales. </w:t>
      </w:r>
    </w:p>
    <w:p w:rsidR="00703EB2" w:rsidRPr="00703EB2" w:rsidRDefault="00703EB2" w:rsidP="00703EB2">
      <w:pPr>
        <w:autoSpaceDE w:val="0"/>
        <w:autoSpaceDN w:val="0"/>
        <w:adjustRightInd w:val="0"/>
        <w:spacing w:after="120" w:line="240" w:lineRule="auto"/>
        <w:jc w:val="both"/>
        <w:rPr>
          <w:rFonts w:asciiTheme="majorHAnsi" w:hAnsiTheme="majorHAnsi" w:cs="Segoe UI Emoji"/>
          <w:color w:val="000000"/>
          <w:sz w:val="24"/>
          <w:szCs w:val="24"/>
        </w:rPr>
      </w:pPr>
      <w:r w:rsidRPr="00703EB2">
        <w:rPr>
          <w:rFonts w:asciiTheme="majorHAnsi" w:hAnsiTheme="majorHAnsi" w:cs="Segoe UI Emoji"/>
          <w:color w:val="000000"/>
          <w:sz w:val="24"/>
          <w:szCs w:val="24"/>
        </w:rPr>
        <w:t>El uso inadecuado de medicamentos involucra también una responsabilidad ambiental y un compromiso con la protección de los recursos públicos, por medio de la eco-</w:t>
      </w:r>
      <w:proofErr w:type="spellStart"/>
      <w:r w:rsidRPr="00703EB2">
        <w:rPr>
          <w:rFonts w:asciiTheme="majorHAnsi" w:hAnsiTheme="majorHAnsi" w:cs="Segoe UI Emoji"/>
          <w:color w:val="000000"/>
          <w:sz w:val="24"/>
          <w:szCs w:val="24"/>
        </w:rPr>
        <w:t>farmacovigilancia</w:t>
      </w:r>
      <w:proofErr w:type="spellEnd"/>
      <w:r w:rsidRPr="00703EB2">
        <w:rPr>
          <w:rFonts w:asciiTheme="majorHAnsi" w:hAnsiTheme="majorHAnsi" w:cs="Segoe UI Emoji"/>
          <w:color w:val="000000"/>
          <w:sz w:val="24"/>
          <w:szCs w:val="24"/>
        </w:rPr>
        <w:t xml:space="preserve"> que vigila la adecuada disposición de los medicamentos, con el fin de minimizar su impacto ambiental. Esto es, adelantar, actividades asociadas con la prevención de los efectos dañinos de los medicamentos al medio ambiente</w:t>
      </w:r>
      <w:r w:rsidR="000A4626" w:rsidRPr="00A10DC8">
        <w:rPr>
          <w:rStyle w:val="Refdenotaalpie"/>
          <w:rFonts w:asciiTheme="majorHAnsi" w:hAnsiTheme="majorHAnsi" w:cs="Segoe UI Emoji"/>
          <w:color w:val="000000"/>
          <w:sz w:val="24"/>
          <w:szCs w:val="24"/>
        </w:rPr>
        <w:footnoteReference w:id="39"/>
      </w:r>
      <w:r w:rsidRPr="00703EB2">
        <w:rPr>
          <w:rFonts w:asciiTheme="majorHAnsi" w:hAnsiTheme="majorHAnsi" w:cs="Segoe UI Emoji"/>
          <w:color w:val="000000"/>
          <w:sz w:val="24"/>
          <w:szCs w:val="24"/>
        </w:rPr>
        <w:t xml:space="preserve">. </w:t>
      </w:r>
    </w:p>
    <w:p w:rsidR="000A4626" w:rsidRPr="00A10DC8" w:rsidRDefault="00703EB2" w:rsidP="000A4626">
      <w:pPr>
        <w:pStyle w:val="Default"/>
        <w:spacing w:after="120"/>
        <w:jc w:val="both"/>
        <w:rPr>
          <w:rFonts w:asciiTheme="majorHAnsi" w:hAnsiTheme="majorHAnsi" w:cs="Segoe UI Emoji"/>
        </w:rPr>
      </w:pPr>
      <w:r w:rsidRPr="00A10DC8">
        <w:rPr>
          <w:rFonts w:asciiTheme="majorHAnsi" w:hAnsiTheme="majorHAnsi" w:cs="Segoe UI Emoji"/>
        </w:rPr>
        <w:t>El elevado consumo de medicamentos y el deficiente sistema de eliminación de residuos de medicamentos vencidos o en desuso tanto en los hogares como en instituciones sanitarias explica la</w:t>
      </w:r>
      <w:r w:rsidR="000A4626" w:rsidRPr="00A10DC8">
        <w:rPr>
          <w:rFonts w:asciiTheme="majorHAnsi" w:hAnsiTheme="majorHAnsi" w:cs="Segoe UI Emoji"/>
        </w:rPr>
        <w:t xml:space="preserve"> presencia de más sustancias en ríos, lagos y aguas residuales. En España se detectaron altas concentraciones de </w:t>
      </w:r>
      <w:proofErr w:type="spellStart"/>
      <w:r w:rsidR="000A4626" w:rsidRPr="00A10DC8">
        <w:rPr>
          <w:rFonts w:asciiTheme="majorHAnsi" w:hAnsiTheme="majorHAnsi" w:cs="Segoe UI Emoji"/>
        </w:rPr>
        <w:t>Lorazepam</w:t>
      </w:r>
      <w:proofErr w:type="spellEnd"/>
      <w:r w:rsidR="000A4626" w:rsidRPr="00A10DC8">
        <w:rPr>
          <w:rFonts w:asciiTheme="majorHAnsi" w:hAnsiTheme="majorHAnsi" w:cs="Segoe UI Emoji"/>
        </w:rPr>
        <w:t xml:space="preserve"> en dos ríos, coincidentes con el aumento en el uso de ansiolíticos y antidepresivos. En Francia se encontraron residuos de ibuprofeno, aspirina y antidepresivos en ríos cercanos a Burdeos y en el Sena</w:t>
      </w:r>
      <w:r w:rsidR="000A4626" w:rsidRPr="00A10DC8">
        <w:rPr>
          <w:rStyle w:val="Refdenotaalpie"/>
          <w:rFonts w:asciiTheme="majorHAnsi" w:hAnsiTheme="majorHAnsi" w:cs="Segoe UI Emoji"/>
        </w:rPr>
        <w:footnoteReference w:id="40"/>
      </w:r>
      <w:r w:rsidR="000A4626" w:rsidRPr="00A10DC8">
        <w:rPr>
          <w:rFonts w:asciiTheme="majorHAnsi" w:hAnsiTheme="majorHAnsi" w:cs="Segoe UI Emoji"/>
        </w:rPr>
        <w:t xml:space="preserve">. </w:t>
      </w:r>
    </w:p>
    <w:p w:rsidR="000A4626" w:rsidRPr="000A4626" w:rsidRDefault="000A4626" w:rsidP="00AF71A8">
      <w:pPr>
        <w:autoSpaceDE w:val="0"/>
        <w:autoSpaceDN w:val="0"/>
        <w:adjustRightInd w:val="0"/>
        <w:spacing w:after="120" w:line="240" w:lineRule="auto"/>
        <w:jc w:val="both"/>
        <w:rPr>
          <w:rFonts w:asciiTheme="majorHAnsi" w:hAnsiTheme="majorHAnsi" w:cs="Segoe UI Emoji"/>
          <w:color w:val="000000"/>
          <w:sz w:val="24"/>
          <w:szCs w:val="24"/>
        </w:rPr>
      </w:pPr>
      <w:r w:rsidRPr="000A4626">
        <w:rPr>
          <w:rFonts w:asciiTheme="majorHAnsi" w:hAnsiTheme="majorHAnsi" w:cs="Segoe UI Emoji"/>
          <w:color w:val="000000"/>
          <w:sz w:val="24"/>
          <w:szCs w:val="24"/>
        </w:rPr>
        <w:t xml:space="preserve">En Colombia, existen normas donde indican que los medicamentos sobrantes se deben depositar en “puntos azules” para transportarlos a los sitios de incineración. Una encuesta realizada por la Universidad Nacional de Colombia en el 2016, a 385 personas en un hospital de primer nivel de complejidad en Bogotá, encontró que la mayoría de los pacientes no conoce los “puntos azules”. El 64 % de las personas botan a la basura los medicamentos sin utilizar que no están vencidos, el 8% los bota en el desagüe y solo el 3,1 % en un punto azul. </w:t>
      </w:r>
    </w:p>
    <w:p w:rsidR="000A4626" w:rsidRPr="000A4626" w:rsidRDefault="000A4626" w:rsidP="00AF71A8">
      <w:pPr>
        <w:autoSpaceDE w:val="0"/>
        <w:autoSpaceDN w:val="0"/>
        <w:adjustRightInd w:val="0"/>
        <w:spacing w:after="120" w:line="240" w:lineRule="auto"/>
        <w:jc w:val="both"/>
        <w:rPr>
          <w:rFonts w:asciiTheme="majorHAnsi" w:hAnsiTheme="majorHAnsi" w:cs="Segoe UI Emoji"/>
          <w:color w:val="000000"/>
          <w:sz w:val="24"/>
          <w:szCs w:val="24"/>
        </w:rPr>
      </w:pPr>
      <w:r w:rsidRPr="000A4626">
        <w:rPr>
          <w:rFonts w:asciiTheme="majorHAnsi" w:hAnsiTheme="majorHAnsi" w:cs="Segoe UI Emoji"/>
          <w:color w:val="000000"/>
          <w:sz w:val="24"/>
          <w:szCs w:val="24"/>
        </w:rPr>
        <w:t xml:space="preserve">Las personas encuestadas relacionan la generación de estos desechos, con dos factores: 1) tratamientos no terminados pues sintieron mejoría (40%) y 2) con prescripciones no necesarias (17%). </w:t>
      </w:r>
    </w:p>
    <w:p w:rsidR="000A4626" w:rsidRPr="000A4626" w:rsidRDefault="000A4626" w:rsidP="00AF71A8">
      <w:pPr>
        <w:autoSpaceDE w:val="0"/>
        <w:autoSpaceDN w:val="0"/>
        <w:adjustRightInd w:val="0"/>
        <w:spacing w:after="120" w:line="240" w:lineRule="auto"/>
        <w:jc w:val="both"/>
        <w:rPr>
          <w:rFonts w:asciiTheme="majorHAnsi" w:hAnsiTheme="majorHAnsi" w:cs="Segoe UI Emoji"/>
          <w:color w:val="000000"/>
          <w:sz w:val="24"/>
          <w:szCs w:val="24"/>
        </w:rPr>
      </w:pPr>
      <w:r w:rsidRPr="000A4626">
        <w:rPr>
          <w:rFonts w:asciiTheme="majorHAnsi" w:hAnsiTheme="majorHAnsi" w:cs="Segoe UI Emoji"/>
          <w:color w:val="000000"/>
          <w:sz w:val="24"/>
          <w:szCs w:val="24"/>
        </w:rPr>
        <w:t>La consecuencia más preocupante del uso inapropiado de medicamentos es la generación de resistencia a los antibióticos. La magnitud de este problema es de escala global. Un informe de la OMS publicado a finales del 2017, identificó 12 clases de microorganismos patógenos prioritarios (algunos de ellos causantes de infecciones frecuentes como la neumonía o las infecciones en las vías urinarias), que son cada vez más resistentes a los antibióticos existentes. La OMS alertó la gravedad de la falta de nuevos antibióticos para combatir esta creciente amenaza, asociada al uso irresponsable de los antibióticos en los sectores de la salud humana, animal y en la agricultura y la ganadería</w:t>
      </w:r>
      <w:r w:rsidR="00C71D5C" w:rsidRPr="00A10DC8">
        <w:rPr>
          <w:rStyle w:val="Refdenotaalpie"/>
          <w:rFonts w:asciiTheme="majorHAnsi" w:hAnsiTheme="majorHAnsi" w:cs="Segoe UI Emoji"/>
          <w:color w:val="000000"/>
          <w:sz w:val="24"/>
          <w:szCs w:val="24"/>
        </w:rPr>
        <w:footnoteReference w:id="41"/>
      </w:r>
      <w:r w:rsidRPr="000A4626">
        <w:rPr>
          <w:rFonts w:asciiTheme="majorHAnsi" w:hAnsiTheme="majorHAnsi" w:cs="Segoe UI Emoji"/>
          <w:color w:val="000000"/>
          <w:sz w:val="24"/>
          <w:szCs w:val="24"/>
        </w:rPr>
        <w:t xml:space="preserve">. </w:t>
      </w:r>
    </w:p>
    <w:p w:rsidR="000A4626" w:rsidRPr="000A4626" w:rsidRDefault="000A4626" w:rsidP="00AF71A8">
      <w:pPr>
        <w:autoSpaceDE w:val="0"/>
        <w:autoSpaceDN w:val="0"/>
        <w:adjustRightInd w:val="0"/>
        <w:spacing w:after="120" w:line="240" w:lineRule="auto"/>
        <w:jc w:val="both"/>
        <w:rPr>
          <w:rFonts w:asciiTheme="majorHAnsi" w:hAnsiTheme="majorHAnsi" w:cs="Segoe UI Emoji"/>
          <w:color w:val="000000"/>
          <w:sz w:val="24"/>
          <w:szCs w:val="24"/>
        </w:rPr>
      </w:pPr>
      <w:r w:rsidRPr="000A4626">
        <w:rPr>
          <w:rFonts w:asciiTheme="majorHAnsi" w:hAnsiTheme="majorHAnsi" w:cs="Segoe UI Emoji"/>
          <w:color w:val="000000"/>
          <w:sz w:val="24"/>
          <w:szCs w:val="24"/>
        </w:rPr>
        <w:lastRenderedPageBreak/>
        <w:t xml:space="preserve">En Colombia, desde el 2016 se trabaja, sin avances documentados, en el diseño de un Plan Nacional Contra la Resistencia Antimicrobiana, que incluye la creación de la mesa de gobernanza inter-institucional para la adopción de los compromisos y la asignación suficiente de recursos para la ejecución del plan. </w:t>
      </w:r>
    </w:p>
    <w:p w:rsidR="000A4626" w:rsidRPr="000A4626" w:rsidRDefault="000A4626" w:rsidP="00AF71A8">
      <w:pPr>
        <w:autoSpaceDE w:val="0"/>
        <w:autoSpaceDN w:val="0"/>
        <w:adjustRightInd w:val="0"/>
        <w:spacing w:after="120" w:line="240" w:lineRule="auto"/>
        <w:jc w:val="both"/>
        <w:rPr>
          <w:rFonts w:asciiTheme="majorHAnsi" w:hAnsiTheme="majorHAnsi" w:cs="Segoe UI Emoji"/>
          <w:color w:val="000000"/>
          <w:sz w:val="24"/>
          <w:szCs w:val="24"/>
        </w:rPr>
      </w:pPr>
      <w:r w:rsidRPr="000A4626">
        <w:rPr>
          <w:rFonts w:asciiTheme="majorHAnsi" w:hAnsiTheme="majorHAnsi" w:cs="Segoe UI Emoji"/>
          <w:color w:val="000000"/>
          <w:sz w:val="24"/>
          <w:szCs w:val="24"/>
        </w:rPr>
        <w:t>Dentro de las variables que facilitan el uso inapropiado de medicamentos se encuentra la publicidad de medicamentos a los consumidores o a los profesionales de la salud. Esta publicidad puede generar riesgos para la salud, entre ellos los ya descritos como consumo excesivo, erróneo e innecesario de medicamentos</w:t>
      </w:r>
      <w:r w:rsidR="00C71D5C" w:rsidRPr="00A10DC8">
        <w:rPr>
          <w:rStyle w:val="Refdenotaalpie"/>
          <w:rFonts w:asciiTheme="majorHAnsi" w:hAnsiTheme="majorHAnsi" w:cs="Segoe UI Emoji"/>
          <w:color w:val="000000"/>
          <w:sz w:val="24"/>
          <w:szCs w:val="24"/>
        </w:rPr>
        <w:footnoteReference w:id="42"/>
      </w:r>
      <w:r w:rsidRPr="000A4626">
        <w:rPr>
          <w:rFonts w:asciiTheme="majorHAnsi" w:hAnsiTheme="majorHAnsi" w:cs="Segoe UI Emoji"/>
          <w:color w:val="000000"/>
          <w:sz w:val="24"/>
          <w:szCs w:val="24"/>
        </w:rPr>
        <w:t xml:space="preserve">. </w:t>
      </w:r>
    </w:p>
    <w:p w:rsidR="00AF71A8" w:rsidRPr="00A10DC8" w:rsidRDefault="000A4626" w:rsidP="00AF71A8">
      <w:pPr>
        <w:pStyle w:val="Default"/>
        <w:spacing w:after="120"/>
        <w:jc w:val="both"/>
        <w:rPr>
          <w:rFonts w:asciiTheme="majorHAnsi" w:hAnsiTheme="majorHAnsi" w:cs="Segoe UI Emoji"/>
        </w:rPr>
      </w:pPr>
      <w:r w:rsidRPr="00A10DC8">
        <w:rPr>
          <w:rFonts w:asciiTheme="majorHAnsi" w:hAnsiTheme="majorHAnsi" w:cs="Segoe UI Emoji"/>
        </w:rPr>
        <w:t>Las compañías farmacéuticas argumentan que parte del gasto farmacéutico en publicidad es destinado a la formación del personal médico y a la financiación de sociedades científicas y de</w:t>
      </w:r>
      <w:r w:rsidR="00AF71A8" w:rsidRPr="00A10DC8">
        <w:rPr>
          <w:rFonts w:asciiTheme="majorHAnsi" w:hAnsiTheme="majorHAnsi" w:cs="Segoe UI Emoji"/>
        </w:rPr>
        <w:t xml:space="preserve"> pacientes. Sin embargo, no existen investigaciones que demuestren que los contactos de los médicos con la industria, para la educación continua, tengan efectos beneficiosos</w:t>
      </w:r>
      <w:r w:rsidR="00AF71A8" w:rsidRPr="00A10DC8">
        <w:rPr>
          <w:rStyle w:val="Refdenotaalpie"/>
          <w:rFonts w:asciiTheme="majorHAnsi" w:hAnsiTheme="majorHAnsi" w:cs="Segoe UI Emoji"/>
        </w:rPr>
        <w:footnoteReference w:id="43"/>
      </w:r>
      <w:proofErr w:type="gramStart"/>
      <w:r w:rsidR="00AF71A8" w:rsidRPr="00A10DC8">
        <w:rPr>
          <w:rFonts w:asciiTheme="majorHAnsi" w:hAnsiTheme="majorHAnsi" w:cs="Segoe UI Emoji"/>
        </w:rPr>
        <w:t>,</w:t>
      </w:r>
      <w:r w:rsidR="00AF71A8" w:rsidRPr="00A10DC8">
        <w:rPr>
          <w:rStyle w:val="Refdenotaalpie"/>
          <w:rFonts w:asciiTheme="majorHAnsi" w:hAnsiTheme="majorHAnsi" w:cs="Segoe UI Emoji"/>
        </w:rPr>
        <w:footnoteReference w:id="44"/>
      </w:r>
      <w:r w:rsidR="00AF71A8" w:rsidRPr="00A10DC8">
        <w:rPr>
          <w:rFonts w:asciiTheme="majorHAnsi" w:hAnsiTheme="majorHAnsi" w:cs="Segoe UI Emoji"/>
        </w:rPr>
        <w:t>.</w:t>
      </w:r>
      <w:proofErr w:type="gramEnd"/>
      <w:r w:rsidR="00AF71A8" w:rsidRPr="00A10DC8">
        <w:rPr>
          <w:rFonts w:asciiTheme="majorHAnsi" w:hAnsiTheme="majorHAnsi" w:cs="Segoe UI Emoji"/>
        </w:rPr>
        <w:t xml:space="preserve"> Al contrario, diversos estudios concluyen que las prácticas son menos apropiadas cuando los prescriptores (o los investigadores) han recibido la información proveniente de la industria farmacéutica</w:t>
      </w:r>
      <w:r w:rsidR="00AF71A8" w:rsidRPr="00A10DC8">
        <w:rPr>
          <w:rStyle w:val="Refdenotaalpie"/>
          <w:rFonts w:asciiTheme="majorHAnsi" w:hAnsiTheme="majorHAnsi" w:cs="Segoe UI Emoji"/>
        </w:rPr>
        <w:footnoteReference w:id="45"/>
      </w:r>
      <w:proofErr w:type="gramStart"/>
      <w:r w:rsidR="00AF71A8" w:rsidRPr="00A10DC8">
        <w:rPr>
          <w:rFonts w:asciiTheme="majorHAnsi" w:hAnsiTheme="majorHAnsi" w:cs="Segoe UI Emoji"/>
        </w:rPr>
        <w:t>,</w:t>
      </w:r>
      <w:r w:rsidR="00AF71A8" w:rsidRPr="00A10DC8">
        <w:rPr>
          <w:rStyle w:val="Refdenotaalpie"/>
          <w:rFonts w:asciiTheme="majorHAnsi" w:hAnsiTheme="majorHAnsi" w:cs="Segoe UI Emoji"/>
        </w:rPr>
        <w:footnoteReference w:id="46"/>
      </w:r>
      <w:r w:rsidR="00AF71A8" w:rsidRPr="00A10DC8">
        <w:rPr>
          <w:rFonts w:asciiTheme="majorHAnsi" w:hAnsiTheme="majorHAnsi" w:cs="Segoe UI Emoji"/>
        </w:rPr>
        <w:t>,</w:t>
      </w:r>
      <w:r w:rsidR="00AF71A8" w:rsidRPr="00A10DC8">
        <w:rPr>
          <w:rStyle w:val="Refdenotaalpie"/>
          <w:rFonts w:asciiTheme="majorHAnsi" w:hAnsiTheme="majorHAnsi" w:cs="Segoe UI Emoji"/>
        </w:rPr>
        <w:footnoteReference w:id="47"/>
      </w:r>
      <w:r w:rsidR="00AF71A8" w:rsidRPr="00A10DC8">
        <w:rPr>
          <w:rFonts w:asciiTheme="majorHAnsi" w:hAnsiTheme="majorHAnsi" w:cs="Segoe UI Emoji"/>
        </w:rPr>
        <w:t>,</w:t>
      </w:r>
      <w:r w:rsidR="00AF71A8" w:rsidRPr="00A10DC8">
        <w:rPr>
          <w:rStyle w:val="Refdenotaalpie"/>
          <w:rFonts w:asciiTheme="majorHAnsi" w:hAnsiTheme="majorHAnsi" w:cs="Segoe UI Emoji"/>
        </w:rPr>
        <w:footnoteReference w:id="48"/>
      </w:r>
      <w:r w:rsidR="00AF71A8" w:rsidRPr="00A10DC8">
        <w:rPr>
          <w:rFonts w:asciiTheme="majorHAnsi" w:hAnsiTheme="majorHAnsi" w:cs="Segoe UI Emoji"/>
        </w:rPr>
        <w:t>.</w:t>
      </w:r>
      <w:proofErr w:type="gramEnd"/>
      <w:r w:rsidR="00AF71A8" w:rsidRPr="00A10DC8">
        <w:rPr>
          <w:rFonts w:asciiTheme="majorHAnsi" w:hAnsiTheme="majorHAnsi" w:cs="Segoe UI Emoji"/>
        </w:rPr>
        <w:t xml:space="preserve"> </w:t>
      </w:r>
    </w:p>
    <w:p w:rsidR="00AF71A8" w:rsidRPr="00AF71A8" w:rsidRDefault="00AF71A8" w:rsidP="00AF71A8">
      <w:pPr>
        <w:autoSpaceDE w:val="0"/>
        <w:autoSpaceDN w:val="0"/>
        <w:adjustRightInd w:val="0"/>
        <w:spacing w:after="120" w:line="240" w:lineRule="auto"/>
        <w:jc w:val="both"/>
        <w:rPr>
          <w:rFonts w:asciiTheme="majorHAnsi" w:hAnsiTheme="majorHAnsi" w:cs="Segoe UI Emoji"/>
          <w:color w:val="000000"/>
          <w:sz w:val="24"/>
          <w:szCs w:val="24"/>
        </w:rPr>
      </w:pPr>
      <w:r w:rsidRPr="00AF71A8">
        <w:rPr>
          <w:rFonts w:asciiTheme="majorHAnsi" w:hAnsiTheme="majorHAnsi" w:cs="Segoe UI Emoji"/>
          <w:color w:val="000000"/>
          <w:sz w:val="24"/>
          <w:szCs w:val="24"/>
        </w:rPr>
        <w:t xml:space="preserve">¿Cómo reducir entonces la magnitud del uso inapropiado de medicamentos? y ¿Cómo financiar la producción de información independiente? </w:t>
      </w:r>
    </w:p>
    <w:p w:rsidR="00AF71A8" w:rsidRPr="00AF71A8" w:rsidRDefault="00AF71A8" w:rsidP="00AF71A8">
      <w:pPr>
        <w:autoSpaceDE w:val="0"/>
        <w:autoSpaceDN w:val="0"/>
        <w:adjustRightInd w:val="0"/>
        <w:spacing w:after="120" w:line="240" w:lineRule="auto"/>
        <w:jc w:val="both"/>
        <w:rPr>
          <w:rFonts w:asciiTheme="majorHAnsi" w:hAnsiTheme="majorHAnsi" w:cs="Segoe UI Emoji"/>
          <w:color w:val="000000"/>
          <w:sz w:val="24"/>
          <w:szCs w:val="24"/>
        </w:rPr>
      </w:pPr>
      <w:r w:rsidRPr="00AF71A8">
        <w:rPr>
          <w:rFonts w:asciiTheme="majorHAnsi" w:hAnsiTheme="majorHAnsi" w:cs="Segoe UI Emoji"/>
          <w:color w:val="000000"/>
          <w:sz w:val="24"/>
          <w:szCs w:val="24"/>
        </w:rPr>
        <w:t>Para responder estas preguntas, la Asamblea Parlamentaria del Consejo de Europa sugirió “introducir un impuesto obligatorio a las actividades de promoción de la industria farmacéutica que sea utilizado, entre otras cosas, para financiar un fondo público destinado a la formación independiente de los profesionales de la salud</w:t>
      </w:r>
      <w:r w:rsidRPr="00A10DC8">
        <w:rPr>
          <w:rStyle w:val="Refdenotaalpie"/>
          <w:rFonts w:asciiTheme="majorHAnsi" w:hAnsiTheme="majorHAnsi" w:cs="Segoe UI Emoji"/>
          <w:color w:val="000000"/>
          <w:sz w:val="24"/>
          <w:szCs w:val="24"/>
        </w:rPr>
        <w:footnoteReference w:id="49"/>
      </w:r>
      <w:r w:rsidRPr="00AF71A8">
        <w:rPr>
          <w:rFonts w:asciiTheme="majorHAnsi" w:hAnsiTheme="majorHAnsi" w:cs="Segoe UI Emoji"/>
          <w:color w:val="000000"/>
          <w:sz w:val="24"/>
          <w:szCs w:val="24"/>
        </w:rPr>
        <w:t xml:space="preserve">”. </w:t>
      </w:r>
    </w:p>
    <w:p w:rsidR="00AF71A8" w:rsidRPr="00AF71A8" w:rsidRDefault="00AF71A8" w:rsidP="00AF71A8">
      <w:pPr>
        <w:autoSpaceDE w:val="0"/>
        <w:autoSpaceDN w:val="0"/>
        <w:adjustRightInd w:val="0"/>
        <w:spacing w:after="120" w:line="240" w:lineRule="auto"/>
        <w:jc w:val="both"/>
        <w:rPr>
          <w:rFonts w:asciiTheme="majorHAnsi" w:hAnsiTheme="majorHAnsi" w:cs="Segoe UI Emoji"/>
          <w:color w:val="000000"/>
          <w:sz w:val="24"/>
          <w:szCs w:val="24"/>
        </w:rPr>
      </w:pPr>
      <w:r w:rsidRPr="00AF71A8">
        <w:rPr>
          <w:rFonts w:asciiTheme="majorHAnsi" w:hAnsiTheme="majorHAnsi" w:cs="Segoe UI Emoji"/>
          <w:color w:val="000000"/>
          <w:sz w:val="24"/>
          <w:szCs w:val="24"/>
        </w:rPr>
        <w:t xml:space="preserve">En Francia, existe un impuesto de 9% sobre gastos en promoción, además de restricciones sobre determinadas prácticas. En el Reino Unido existe un sistema complejo por el cual gastos por encima de cierto nivel, que varía entre 7% para empresas grandes y 15% para pequeñas. En Suecia existe un impuesto del 11% pero sólo para el material impreso en que figure el nombre de la empresa y/o producto. </w:t>
      </w:r>
    </w:p>
    <w:p w:rsidR="00AF71A8" w:rsidRPr="00AF71A8" w:rsidRDefault="00AF71A8" w:rsidP="00AF71A8">
      <w:pPr>
        <w:autoSpaceDE w:val="0"/>
        <w:autoSpaceDN w:val="0"/>
        <w:adjustRightInd w:val="0"/>
        <w:spacing w:after="120" w:line="240" w:lineRule="auto"/>
        <w:jc w:val="both"/>
        <w:rPr>
          <w:rFonts w:asciiTheme="majorHAnsi" w:hAnsiTheme="majorHAnsi" w:cs="Segoe UI Emoji"/>
          <w:color w:val="000000"/>
          <w:sz w:val="24"/>
          <w:szCs w:val="24"/>
        </w:rPr>
      </w:pPr>
      <w:r w:rsidRPr="00AF71A8">
        <w:rPr>
          <w:rFonts w:asciiTheme="majorHAnsi" w:hAnsiTheme="majorHAnsi" w:cs="Segoe UI Emoji"/>
          <w:color w:val="000000"/>
          <w:sz w:val="24"/>
          <w:szCs w:val="24"/>
        </w:rPr>
        <w:t xml:space="preserve">Se propone que Colombia establezca un impuesto de esta naturaleza, basado en los gastos de publicidad o en las ventas. </w:t>
      </w:r>
    </w:p>
    <w:p w:rsidR="00AF71A8" w:rsidRPr="00AF71A8" w:rsidRDefault="00AF71A8" w:rsidP="00AF71A8">
      <w:pPr>
        <w:autoSpaceDE w:val="0"/>
        <w:autoSpaceDN w:val="0"/>
        <w:adjustRightInd w:val="0"/>
        <w:spacing w:after="120" w:line="240" w:lineRule="auto"/>
        <w:jc w:val="both"/>
        <w:rPr>
          <w:rFonts w:asciiTheme="majorHAnsi" w:hAnsiTheme="majorHAnsi" w:cs="Segoe UI Emoji"/>
          <w:color w:val="000000"/>
          <w:sz w:val="24"/>
          <w:szCs w:val="24"/>
        </w:rPr>
      </w:pPr>
      <w:r w:rsidRPr="00AF71A8">
        <w:rPr>
          <w:rFonts w:asciiTheme="majorHAnsi" w:hAnsiTheme="majorHAnsi" w:cs="Segoe UI Emoji"/>
          <w:color w:val="000000"/>
          <w:sz w:val="24"/>
          <w:szCs w:val="24"/>
        </w:rPr>
        <w:lastRenderedPageBreak/>
        <w:t xml:space="preserve">Para estimar la magnitud de un potencial recaudo se usó el ranking anual de ventas y participación en el mercado farmacéutico de </w:t>
      </w:r>
      <w:proofErr w:type="spellStart"/>
      <w:r w:rsidRPr="00AF71A8">
        <w:rPr>
          <w:rFonts w:asciiTheme="majorHAnsi" w:hAnsiTheme="majorHAnsi" w:cs="Segoe UI Emoji"/>
          <w:color w:val="000000"/>
          <w:sz w:val="24"/>
          <w:szCs w:val="24"/>
        </w:rPr>
        <w:t>QuintilesIMS</w:t>
      </w:r>
      <w:proofErr w:type="spellEnd"/>
      <w:r w:rsidRPr="00AF71A8">
        <w:rPr>
          <w:rFonts w:asciiTheme="majorHAnsi" w:hAnsiTheme="majorHAnsi" w:cs="Segoe UI Emoji"/>
          <w:color w:val="000000"/>
          <w:sz w:val="24"/>
          <w:szCs w:val="24"/>
        </w:rPr>
        <w:t xml:space="preserve">. Si se destina entre el 3% y el 5% de las ventas a la publicidad farmacéutica, con un 9% de tributación (el más bajo de los países que ya lo tienen definido) el recaudo sería entre 76 y 126 millones de dólares. Esta cifra se estima con los datos de ventas de las 20 empresas más destacadas del sector. </w:t>
      </w:r>
    </w:p>
    <w:p w:rsidR="004F2839" w:rsidRPr="00A10DC8" w:rsidRDefault="00AF71A8" w:rsidP="00EA3DD1">
      <w:pPr>
        <w:spacing w:after="120" w:line="240" w:lineRule="auto"/>
        <w:jc w:val="both"/>
        <w:rPr>
          <w:rFonts w:asciiTheme="majorHAnsi" w:hAnsiTheme="majorHAnsi" w:cs="Segoe UI Emoji"/>
          <w:color w:val="000000"/>
          <w:sz w:val="24"/>
          <w:szCs w:val="24"/>
        </w:rPr>
      </w:pPr>
      <w:r w:rsidRPr="00A10DC8">
        <w:rPr>
          <w:rFonts w:asciiTheme="majorHAnsi" w:hAnsiTheme="majorHAnsi" w:cs="Segoe UI Emoji"/>
          <w:color w:val="000000"/>
          <w:sz w:val="24"/>
          <w:szCs w:val="24"/>
        </w:rPr>
        <w:t>Este recaudo permitiría funcionar holgadamente al IETS (Instituto de Evaluación Tecnológica en Salud), entidad recientemente creada que se encarga de realizar las guías de práctica clínica del país y realizar estudios técnicos para la definición de los medicamentos y tecnologías que deben ser pagadas con recursos públicos en el país. El IETS no cuenta con presupuesto propio, es una entidad clave para el cumplimiento de la Ley Estatutaria en Salud y desarrollaría las campañas y estrategias de educación que se requieren para mejorar la forma como son usados los medicamentos por la ciudadanía.</w:t>
      </w:r>
    </w:p>
    <w:p w:rsidR="00EA3DD1" w:rsidRPr="00EA3DD1" w:rsidRDefault="00EA3DD1" w:rsidP="00EA3DD1">
      <w:pPr>
        <w:autoSpaceDE w:val="0"/>
        <w:autoSpaceDN w:val="0"/>
        <w:adjustRightInd w:val="0"/>
        <w:spacing w:after="120" w:line="240" w:lineRule="auto"/>
        <w:jc w:val="both"/>
        <w:rPr>
          <w:rFonts w:asciiTheme="majorHAnsi" w:hAnsiTheme="majorHAnsi" w:cs="Segoe UI Emoji"/>
          <w:color w:val="000000"/>
          <w:sz w:val="24"/>
          <w:szCs w:val="24"/>
        </w:rPr>
      </w:pPr>
      <w:r w:rsidRPr="00EA3DD1">
        <w:rPr>
          <w:rFonts w:asciiTheme="majorHAnsi" w:hAnsiTheme="majorHAnsi" w:cs="Segoe UI Emoji"/>
          <w:color w:val="000000"/>
          <w:sz w:val="24"/>
          <w:szCs w:val="24"/>
        </w:rPr>
        <w:t xml:space="preserve">Estas estrategias para el uso óptimo de los medicamentos orientadas a la promoción de la salud y a la prevención de la enfermedad e impulsadas por la Organización Panamericana de la Salud, deben ser dirigidas por una organización independiente y de carácter académico como el IETS. </w:t>
      </w:r>
    </w:p>
    <w:p w:rsidR="00EA3DD1" w:rsidRPr="00EA3DD1" w:rsidRDefault="00EA3DD1" w:rsidP="00EA3DD1">
      <w:pPr>
        <w:autoSpaceDE w:val="0"/>
        <w:autoSpaceDN w:val="0"/>
        <w:adjustRightInd w:val="0"/>
        <w:spacing w:after="120" w:line="240" w:lineRule="auto"/>
        <w:jc w:val="both"/>
        <w:rPr>
          <w:rFonts w:asciiTheme="majorHAnsi" w:hAnsiTheme="majorHAnsi" w:cs="Segoe UI Emoji"/>
          <w:color w:val="000000"/>
          <w:sz w:val="24"/>
          <w:szCs w:val="24"/>
        </w:rPr>
      </w:pPr>
      <w:r w:rsidRPr="00EA3DD1">
        <w:rPr>
          <w:rFonts w:asciiTheme="majorHAnsi" w:hAnsiTheme="majorHAnsi" w:cs="Segoe UI Emoji"/>
          <w:color w:val="000000"/>
          <w:sz w:val="24"/>
          <w:szCs w:val="24"/>
        </w:rPr>
        <w:t xml:space="preserve">La creación de un nuevo impuesto implica una reforma de Ley compleja en el Congreso de la República, en especial cuando se trata de impuestos a sectores industriales con alta incidencia. El Ministerio de Salud no logró hacerlo para las bebidas azucaradas, a pesar de la evidencia sobre los beneficios en salud. Sin embargo, iniciar e instalar este debate puede ser interesante para promover la generación de evidencia y establecer fuentes alternativas de financiación. </w:t>
      </w:r>
    </w:p>
    <w:p w:rsidR="00EA3DD1" w:rsidRPr="00EA3DD1" w:rsidRDefault="00EA3DD1" w:rsidP="00EA3DD1">
      <w:pPr>
        <w:autoSpaceDE w:val="0"/>
        <w:autoSpaceDN w:val="0"/>
        <w:adjustRightInd w:val="0"/>
        <w:spacing w:after="120" w:line="240" w:lineRule="auto"/>
        <w:jc w:val="both"/>
        <w:rPr>
          <w:rFonts w:asciiTheme="majorHAnsi" w:hAnsiTheme="majorHAnsi" w:cs="Segoe UI Emoji"/>
          <w:color w:val="000000"/>
          <w:sz w:val="24"/>
          <w:szCs w:val="24"/>
        </w:rPr>
      </w:pPr>
      <w:r w:rsidRPr="00EA3DD1">
        <w:rPr>
          <w:rFonts w:asciiTheme="majorHAnsi" w:hAnsiTheme="majorHAnsi" w:cs="Segoe UI Emoji"/>
          <w:color w:val="000000"/>
          <w:sz w:val="24"/>
          <w:szCs w:val="24"/>
        </w:rPr>
        <w:t xml:space="preserve">También se podría argumentar que un impuesto a la publicidad o a los ingresos aumentaría los precios de los medicamentos. No se encontró evidencia de ello. Los países que tienen este impuesto como Francia, cuentan con mecanismos de regulación de precios fuertes y monitoreo del mercado que les permite gestionar el balance en el impacto de las medidas. </w:t>
      </w:r>
    </w:p>
    <w:p w:rsidR="00EA3DD1" w:rsidRPr="00EA3DD1" w:rsidRDefault="00EA3DD1" w:rsidP="00EA3DD1">
      <w:pPr>
        <w:autoSpaceDE w:val="0"/>
        <w:autoSpaceDN w:val="0"/>
        <w:adjustRightInd w:val="0"/>
        <w:spacing w:after="120" w:line="240" w:lineRule="auto"/>
        <w:jc w:val="both"/>
        <w:rPr>
          <w:rFonts w:asciiTheme="majorHAnsi" w:hAnsiTheme="majorHAnsi" w:cs="Segoe UI Emoji"/>
          <w:color w:val="000000"/>
          <w:sz w:val="24"/>
          <w:szCs w:val="24"/>
        </w:rPr>
      </w:pPr>
      <w:r w:rsidRPr="00EA3DD1">
        <w:rPr>
          <w:rFonts w:asciiTheme="majorHAnsi" w:hAnsiTheme="majorHAnsi" w:cs="Segoe UI Emoji"/>
          <w:color w:val="000000"/>
          <w:sz w:val="24"/>
          <w:szCs w:val="24"/>
        </w:rPr>
        <w:t>Otras medidas como las campañas masivas y las estrategias de educación ciudadana han generado importantes resultados en otros sectores y deberían ser incorporadas en este subsector</w:t>
      </w:r>
      <w:r w:rsidRPr="00A10DC8">
        <w:rPr>
          <w:rStyle w:val="Refdenotaalpie"/>
          <w:rFonts w:asciiTheme="majorHAnsi" w:hAnsiTheme="majorHAnsi" w:cs="Segoe UI Emoji"/>
          <w:color w:val="000000"/>
          <w:sz w:val="24"/>
          <w:szCs w:val="24"/>
        </w:rPr>
        <w:footnoteReference w:id="50"/>
      </w:r>
      <w:r w:rsidRPr="00EA3DD1">
        <w:rPr>
          <w:rFonts w:asciiTheme="majorHAnsi" w:hAnsiTheme="majorHAnsi" w:cs="Segoe UI Emoji"/>
          <w:color w:val="000000"/>
          <w:sz w:val="24"/>
          <w:szCs w:val="24"/>
        </w:rPr>
        <w:t xml:space="preserve">, especialmente en la promoción del uso adecuado de antibióticos. Estas medidas requieren importante inversión de recursos y sostenibilidad en el tiempo. </w:t>
      </w:r>
    </w:p>
    <w:p w:rsidR="00EA3DD1" w:rsidRPr="00A10DC8" w:rsidRDefault="00EA3DD1" w:rsidP="00EA3DD1">
      <w:pPr>
        <w:autoSpaceDE w:val="0"/>
        <w:autoSpaceDN w:val="0"/>
        <w:adjustRightInd w:val="0"/>
        <w:spacing w:after="120" w:line="240" w:lineRule="auto"/>
        <w:jc w:val="both"/>
        <w:rPr>
          <w:rFonts w:asciiTheme="majorHAnsi" w:hAnsiTheme="majorHAnsi" w:cs="Segoe UI Emoji"/>
          <w:color w:val="000000"/>
          <w:sz w:val="24"/>
          <w:szCs w:val="24"/>
        </w:rPr>
      </w:pPr>
      <w:r w:rsidRPr="00EA3DD1">
        <w:rPr>
          <w:rFonts w:asciiTheme="majorHAnsi" w:hAnsiTheme="majorHAnsi" w:cs="Segoe UI Emoji"/>
          <w:color w:val="000000"/>
          <w:sz w:val="24"/>
          <w:szCs w:val="24"/>
        </w:rPr>
        <w:t xml:space="preserve">De otro lado, la propuesta de establecer incentivos financieros o de otro tipo, como bonos a los prescriptores cuando se logren metas de uso óptimo de medicamentos, se </w:t>
      </w:r>
      <w:r w:rsidRPr="00EA3DD1">
        <w:rPr>
          <w:rFonts w:asciiTheme="majorHAnsi" w:hAnsiTheme="majorHAnsi" w:cs="Segoe UI Emoji"/>
          <w:color w:val="000000"/>
          <w:sz w:val="24"/>
          <w:szCs w:val="24"/>
        </w:rPr>
        <w:lastRenderedPageBreak/>
        <w:t>usa ampliamente en otros países, en la búsqueda de mejores resultados en salud para los pacientes</w:t>
      </w:r>
      <w:r w:rsidRPr="00A10DC8">
        <w:rPr>
          <w:rStyle w:val="Refdenotaalpie"/>
          <w:rFonts w:asciiTheme="majorHAnsi" w:hAnsiTheme="majorHAnsi" w:cs="Segoe UI Emoji"/>
          <w:color w:val="000000"/>
          <w:sz w:val="24"/>
          <w:szCs w:val="24"/>
        </w:rPr>
        <w:footnoteReference w:id="51"/>
      </w:r>
      <w:r w:rsidRPr="00EA3DD1">
        <w:rPr>
          <w:rFonts w:asciiTheme="majorHAnsi" w:hAnsiTheme="majorHAnsi" w:cs="Segoe UI Emoji"/>
          <w:color w:val="000000"/>
          <w:sz w:val="24"/>
          <w:szCs w:val="24"/>
        </w:rPr>
        <w:t xml:space="preserve">. </w:t>
      </w:r>
    </w:p>
    <w:p w:rsidR="00EA3DD1" w:rsidRPr="00A10DC8" w:rsidRDefault="00EA3DD1" w:rsidP="00EA3DD1">
      <w:pPr>
        <w:autoSpaceDE w:val="0"/>
        <w:autoSpaceDN w:val="0"/>
        <w:adjustRightInd w:val="0"/>
        <w:spacing w:after="120" w:line="240" w:lineRule="auto"/>
        <w:jc w:val="both"/>
        <w:rPr>
          <w:rFonts w:asciiTheme="majorHAnsi" w:hAnsiTheme="majorHAnsi" w:cs="Segoe UI Emoji"/>
          <w:color w:val="000000"/>
          <w:sz w:val="24"/>
          <w:szCs w:val="24"/>
        </w:rPr>
      </w:pPr>
      <w:r w:rsidRPr="00EA3DD1">
        <w:rPr>
          <w:rFonts w:asciiTheme="majorHAnsi" w:hAnsiTheme="majorHAnsi" w:cs="Segoe UI Emoji"/>
          <w:color w:val="000000"/>
          <w:sz w:val="24"/>
          <w:szCs w:val="24"/>
        </w:rPr>
        <w:t xml:space="preserve">No se ha documentado en Colombia esta práctica, pero posiblemente se presente en los procesos de gestión entre las IPS especializadas y las EPS. Sin embargo, la información disponible internacional sugiere que es complejo medir los resultados del uso óptimo, en lugar de los ahorros en recursos. Sin embargo, como con otras políticas que buscan cambios culturales, el compromiso directo con los involucrados es un determinante de éxito. </w:t>
      </w:r>
    </w:p>
    <w:p w:rsidR="00EA3DD1" w:rsidRPr="00EA3DD1" w:rsidRDefault="00EA3DD1" w:rsidP="00EA3DD1">
      <w:pPr>
        <w:autoSpaceDE w:val="0"/>
        <w:autoSpaceDN w:val="0"/>
        <w:adjustRightInd w:val="0"/>
        <w:spacing w:after="120" w:line="240" w:lineRule="auto"/>
        <w:jc w:val="both"/>
        <w:rPr>
          <w:rFonts w:asciiTheme="majorHAnsi" w:hAnsiTheme="majorHAnsi" w:cs="Segoe UI Emoji"/>
          <w:color w:val="000000"/>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785"/>
      </w:tblGrid>
      <w:tr w:rsidR="00EA3DD1" w:rsidRPr="00EA3DD1" w:rsidTr="00CB5B55">
        <w:trPr>
          <w:trHeight w:val="1158"/>
        </w:trPr>
        <w:tc>
          <w:tcPr>
            <w:tcW w:w="8785" w:type="dxa"/>
          </w:tcPr>
          <w:p w:rsidR="00EA3DD1" w:rsidRPr="00A10DC8" w:rsidRDefault="00EA3DD1" w:rsidP="00EA3DD1">
            <w:pPr>
              <w:autoSpaceDE w:val="0"/>
              <w:autoSpaceDN w:val="0"/>
              <w:adjustRightInd w:val="0"/>
              <w:spacing w:after="120" w:line="240" w:lineRule="auto"/>
              <w:jc w:val="both"/>
              <w:rPr>
                <w:rFonts w:asciiTheme="majorHAnsi" w:hAnsiTheme="majorHAnsi" w:cs="Segoe UI Emoji"/>
                <w:color w:val="000000"/>
                <w:sz w:val="24"/>
                <w:szCs w:val="24"/>
              </w:rPr>
            </w:pPr>
          </w:p>
          <w:p w:rsidR="00EA3DD1" w:rsidRPr="00EA3DD1" w:rsidRDefault="00EA3DD1" w:rsidP="00EA3DD1">
            <w:pPr>
              <w:autoSpaceDE w:val="0"/>
              <w:autoSpaceDN w:val="0"/>
              <w:adjustRightInd w:val="0"/>
              <w:spacing w:after="120" w:line="240" w:lineRule="auto"/>
              <w:jc w:val="center"/>
              <w:rPr>
                <w:rFonts w:asciiTheme="majorHAnsi" w:hAnsiTheme="majorHAnsi" w:cs="Segoe UI Emoji"/>
                <w:color w:val="000000"/>
                <w:sz w:val="24"/>
                <w:szCs w:val="24"/>
              </w:rPr>
            </w:pPr>
            <w:r w:rsidRPr="00EA3DD1">
              <w:rPr>
                <w:rFonts w:asciiTheme="majorHAnsi" w:hAnsiTheme="majorHAnsi" w:cs="Segoe UI Emoji"/>
                <w:color w:val="000000"/>
                <w:sz w:val="24"/>
                <w:szCs w:val="24"/>
              </w:rPr>
              <w:t>Propuestas</w:t>
            </w:r>
          </w:p>
          <w:p w:rsidR="00EA3DD1" w:rsidRPr="00A10DC8" w:rsidRDefault="00EA3DD1" w:rsidP="00EA3DD1">
            <w:pPr>
              <w:autoSpaceDE w:val="0"/>
              <w:autoSpaceDN w:val="0"/>
              <w:adjustRightInd w:val="0"/>
              <w:spacing w:after="120" w:line="240" w:lineRule="auto"/>
              <w:jc w:val="center"/>
              <w:rPr>
                <w:rFonts w:asciiTheme="majorHAnsi" w:hAnsiTheme="majorHAnsi" w:cs="Segoe UI Emoji"/>
                <w:color w:val="000000"/>
                <w:sz w:val="24"/>
                <w:szCs w:val="24"/>
              </w:rPr>
            </w:pPr>
            <w:r w:rsidRPr="00EA3DD1">
              <w:rPr>
                <w:rFonts w:asciiTheme="majorHAnsi" w:hAnsiTheme="majorHAnsi" w:cs="Segoe UI Emoji"/>
                <w:color w:val="000000"/>
                <w:sz w:val="24"/>
                <w:szCs w:val="24"/>
              </w:rPr>
              <w:t>"Uso óptimo de medicamentos y cero desperdicio"</w:t>
            </w:r>
          </w:p>
          <w:p w:rsidR="00EA3DD1" w:rsidRPr="00EA3DD1" w:rsidRDefault="00EA3DD1" w:rsidP="00EA3DD1">
            <w:pPr>
              <w:autoSpaceDE w:val="0"/>
              <w:autoSpaceDN w:val="0"/>
              <w:adjustRightInd w:val="0"/>
              <w:spacing w:after="120" w:line="240" w:lineRule="auto"/>
              <w:jc w:val="both"/>
              <w:rPr>
                <w:rFonts w:asciiTheme="majorHAnsi" w:hAnsiTheme="majorHAnsi" w:cs="Segoe UI Emoji"/>
                <w:color w:val="000000"/>
                <w:sz w:val="24"/>
                <w:szCs w:val="24"/>
              </w:rPr>
            </w:pPr>
          </w:p>
          <w:p w:rsidR="00EA3DD1" w:rsidRPr="00EA3DD1" w:rsidRDefault="00EA3DD1" w:rsidP="00EA3DD1">
            <w:pPr>
              <w:autoSpaceDE w:val="0"/>
              <w:autoSpaceDN w:val="0"/>
              <w:adjustRightInd w:val="0"/>
              <w:spacing w:after="120" w:line="240" w:lineRule="auto"/>
              <w:jc w:val="both"/>
              <w:rPr>
                <w:rFonts w:asciiTheme="majorHAnsi" w:hAnsiTheme="majorHAnsi" w:cs="Segoe UI Emoji"/>
                <w:color w:val="000000"/>
                <w:sz w:val="24"/>
                <w:szCs w:val="24"/>
              </w:rPr>
            </w:pPr>
            <w:r w:rsidRPr="00EA3DD1">
              <w:rPr>
                <w:rFonts w:asciiTheme="majorHAnsi" w:hAnsiTheme="majorHAnsi" w:cs="Segoe UI Emoji"/>
                <w:color w:val="000000"/>
                <w:sz w:val="24"/>
                <w:szCs w:val="24"/>
              </w:rPr>
              <w:t xml:space="preserve">1. Promover una cultura ciudadana en salud basada en: </w:t>
            </w:r>
          </w:p>
          <w:p w:rsidR="00EA3DD1" w:rsidRPr="00EA3DD1" w:rsidRDefault="00EA3DD1" w:rsidP="00EA3DD1">
            <w:pPr>
              <w:autoSpaceDE w:val="0"/>
              <w:autoSpaceDN w:val="0"/>
              <w:adjustRightInd w:val="0"/>
              <w:spacing w:after="120" w:line="240" w:lineRule="auto"/>
              <w:jc w:val="both"/>
              <w:rPr>
                <w:rFonts w:asciiTheme="majorHAnsi" w:hAnsiTheme="majorHAnsi" w:cs="Segoe UI Emoji"/>
                <w:color w:val="000000"/>
                <w:sz w:val="24"/>
                <w:szCs w:val="24"/>
              </w:rPr>
            </w:pPr>
          </w:p>
          <w:p w:rsidR="00EA3DD1" w:rsidRPr="00A10DC8" w:rsidRDefault="00EA3DD1" w:rsidP="00EA3DD1">
            <w:pPr>
              <w:pStyle w:val="Prrafodelista"/>
              <w:numPr>
                <w:ilvl w:val="0"/>
                <w:numId w:val="4"/>
              </w:numPr>
              <w:autoSpaceDE w:val="0"/>
              <w:autoSpaceDN w:val="0"/>
              <w:adjustRightInd w:val="0"/>
              <w:spacing w:after="120" w:line="240" w:lineRule="auto"/>
              <w:jc w:val="both"/>
              <w:rPr>
                <w:rFonts w:asciiTheme="majorHAnsi" w:hAnsiTheme="majorHAnsi" w:cs="Segoe UI Emoji"/>
                <w:color w:val="000000"/>
                <w:sz w:val="24"/>
                <w:szCs w:val="24"/>
              </w:rPr>
            </w:pPr>
            <w:r w:rsidRPr="00A10DC8">
              <w:rPr>
                <w:rFonts w:asciiTheme="majorHAnsi" w:hAnsiTheme="majorHAnsi" w:cs="Segoe UI Emoji"/>
                <w:color w:val="000000"/>
                <w:sz w:val="24"/>
                <w:szCs w:val="24"/>
              </w:rPr>
              <w:t xml:space="preserve">Estrategias de educación y programas de visita directa al médico y al hogar, orientadas a la promoción de la salud, la prevención de la enfermedad y al uso óptimo de los medicamentos. </w:t>
            </w:r>
          </w:p>
          <w:p w:rsidR="00EA3DD1" w:rsidRPr="00A10DC8" w:rsidRDefault="00EA3DD1" w:rsidP="00EA3DD1">
            <w:pPr>
              <w:pStyle w:val="Prrafodelista"/>
              <w:numPr>
                <w:ilvl w:val="0"/>
                <w:numId w:val="4"/>
              </w:numPr>
              <w:autoSpaceDE w:val="0"/>
              <w:autoSpaceDN w:val="0"/>
              <w:adjustRightInd w:val="0"/>
              <w:spacing w:after="120" w:line="240" w:lineRule="auto"/>
              <w:jc w:val="both"/>
              <w:rPr>
                <w:rFonts w:asciiTheme="majorHAnsi" w:hAnsiTheme="majorHAnsi" w:cs="Segoe UI Emoji"/>
                <w:color w:val="000000"/>
                <w:sz w:val="24"/>
                <w:szCs w:val="24"/>
              </w:rPr>
            </w:pPr>
            <w:r w:rsidRPr="00A10DC8">
              <w:rPr>
                <w:rFonts w:asciiTheme="majorHAnsi" w:hAnsiTheme="majorHAnsi"/>
                <w:sz w:val="24"/>
                <w:szCs w:val="24"/>
              </w:rPr>
              <w:t xml:space="preserve">Un programa territorial de apoyo a los adultos mayores en el manejo de su medicación. </w:t>
            </w:r>
          </w:p>
          <w:p w:rsidR="00EA3DD1" w:rsidRPr="00A10DC8" w:rsidRDefault="00EA3DD1" w:rsidP="00EA3DD1">
            <w:pPr>
              <w:pStyle w:val="Prrafodelista"/>
              <w:numPr>
                <w:ilvl w:val="0"/>
                <w:numId w:val="4"/>
              </w:numPr>
              <w:autoSpaceDE w:val="0"/>
              <w:autoSpaceDN w:val="0"/>
              <w:adjustRightInd w:val="0"/>
              <w:spacing w:after="120" w:line="240" w:lineRule="auto"/>
              <w:jc w:val="both"/>
              <w:rPr>
                <w:rFonts w:asciiTheme="majorHAnsi" w:hAnsiTheme="majorHAnsi" w:cs="Segoe UI Emoji"/>
                <w:color w:val="000000"/>
                <w:sz w:val="24"/>
                <w:szCs w:val="24"/>
              </w:rPr>
            </w:pPr>
            <w:r w:rsidRPr="00A10DC8">
              <w:rPr>
                <w:rFonts w:asciiTheme="majorHAnsi" w:hAnsiTheme="majorHAnsi"/>
                <w:sz w:val="24"/>
                <w:szCs w:val="24"/>
              </w:rPr>
              <w:t xml:space="preserve">Una campaña masiva y de alto perfil por el uso responsable de antibióticos. </w:t>
            </w:r>
          </w:p>
          <w:p w:rsidR="00EA3DD1" w:rsidRPr="00A10DC8" w:rsidRDefault="00EA3DD1" w:rsidP="00EA3DD1">
            <w:pPr>
              <w:pStyle w:val="Prrafodelista"/>
              <w:numPr>
                <w:ilvl w:val="0"/>
                <w:numId w:val="4"/>
              </w:numPr>
              <w:autoSpaceDE w:val="0"/>
              <w:autoSpaceDN w:val="0"/>
              <w:adjustRightInd w:val="0"/>
              <w:spacing w:after="120" w:line="240" w:lineRule="auto"/>
              <w:jc w:val="both"/>
              <w:rPr>
                <w:rFonts w:asciiTheme="majorHAnsi" w:hAnsiTheme="majorHAnsi" w:cs="Segoe UI Emoji"/>
                <w:color w:val="000000"/>
                <w:sz w:val="24"/>
                <w:szCs w:val="24"/>
              </w:rPr>
            </w:pPr>
            <w:r w:rsidRPr="00A10DC8">
              <w:rPr>
                <w:rFonts w:asciiTheme="majorHAnsi" w:hAnsiTheme="majorHAnsi"/>
                <w:sz w:val="24"/>
                <w:szCs w:val="24"/>
              </w:rPr>
              <w:t xml:space="preserve">Una institucionalidad fuerte que incluya la financiación sostenible IETS y la red Centros públicos de Información de Medicamentos, mediante un impuesto a la publicidad o a las ventas farmacéuticas. </w:t>
            </w:r>
          </w:p>
          <w:p w:rsidR="00EA3DD1" w:rsidRPr="00A10DC8" w:rsidRDefault="00EA3DD1" w:rsidP="00EA3DD1">
            <w:pPr>
              <w:pStyle w:val="Default"/>
              <w:jc w:val="both"/>
              <w:rPr>
                <w:rFonts w:asciiTheme="majorHAnsi" w:hAnsiTheme="majorHAnsi"/>
              </w:rPr>
            </w:pPr>
          </w:p>
          <w:p w:rsidR="00EA3DD1" w:rsidRPr="00A10DC8" w:rsidRDefault="00CB5B55" w:rsidP="00EA3DD1">
            <w:pPr>
              <w:pStyle w:val="Default"/>
              <w:jc w:val="both"/>
              <w:rPr>
                <w:rFonts w:asciiTheme="majorHAnsi" w:hAnsiTheme="majorHAnsi"/>
              </w:rPr>
            </w:pPr>
            <w:r w:rsidRPr="00A10DC8">
              <w:rPr>
                <w:rFonts w:asciiTheme="majorHAnsi" w:hAnsiTheme="majorHAnsi"/>
              </w:rPr>
              <w:t xml:space="preserve">2. </w:t>
            </w:r>
            <w:r w:rsidR="00EA3DD1" w:rsidRPr="00A10DC8">
              <w:rPr>
                <w:rFonts w:asciiTheme="majorHAnsi" w:hAnsiTheme="majorHAnsi"/>
              </w:rPr>
              <w:t xml:space="preserve">Pagar a las IPS de alta complejidad, y a sus médicos, bonos, o incentivos diversos, por el cumplimiento de metas de reducción de gasto de los medicamentos que se prescriben por MIPRES. </w:t>
            </w:r>
          </w:p>
          <w:p w:rsidR="00EA3DD1" w:rsidRPr="00A10DC8" w:rsidRDefault="00EA3DD1" w:rsidP="00EA3DD1">
            <w:pPr>
              <w:pStyle w:val="Default"/>
              <w:jc w:val="both"/>
              <w:rPr>
                <w:rFonts w:asciiTheme="majorHAnsi" w:hAnsiTheme="majorHAnsi"/>
              </w:rPr>
            </w:pPr>
          </w:p>
          <w:p w:rsidR="00EA3DD1" w:rsidRPr="00A10DC8" w:rsidRDefault="00EA3DD1" w:rsidP="00EA3DD1">
            <w:pPr>
              <w:pStyle w:val="Default"/>
              <w:jc w:val="both"/>
              <w:rPr>
                <w:rFonts w:asciiTheme="majorHAnsi" w:hAnsiTheme="majorHAnsi"/>
              </w:rPr>
            </w:pPr>
            <w:r w:rsidRPr="00A10DC8">
              <w:rPr>
                <w:rFonts w:asciiTheme="majorHAnsi" w:hAnsiTheme="majorHAnsi"/>
              </w:rPr>
              <w:t xml:space="preserve">3. Diseñar y aplicar un plan nacional de manejo ecológico de los sobrantes de medicamentos en el hogar. </w:t>
            </w:r>
          </w:p>
          <w:p w:rsidR="00EA3DD1" w:rsidRPr="00A10DC8" w:rsidRDefault="00EA3DD1" w:rsidP="00EA3DD1">
            <w:pPr>
              <w:pStyle w:val="Default"/>
              <w:jc w:val="both"/>
              <w:rPr>
                <w:rFonts w:asciiTheme="majorHAnsi" w:hAnsiTheme="majorHAnsi"/>
              </w:rPr>
            </w:pPr>
          </w:p>
          <w:p w:rsidR="00EA3DD1" w:rsidRPr="00A10DC8" w:rsidRDefault="00EA3DD1" w:rsidP="00EA3DD1">
            <w:pPr>
              <w:pStyle w:val="Default"/>
              <w:jc w:val="both"/>
              <w:rPr>
                <w:rFonts w:asciiTheme="majorHAnsi" w:hAnsiTheme="majorHAnsi"/>
              </w:rPr>
            </w:pPr>
            <w:r w:rsidRPr="00A10DC8">
              <w:rPr>
                <w:rFonts w:asciiTheme="majorHAnsi" w:hAnsiTheme="majorHAnsi"/>
              </w:rPr>
              <w:t xml:space="preserve">4. Establecer un sistema de etiquetado de medicamentos novedoso para disminuir los errores en la medicación desde el INVIMA. </w:t>
            </w:r>
          </w:p>
          <w:p w:rsidR="00EA3DD1" w:rsidRPr="00EA3DD1" w:rsidRDefault="00EA3DD1" w:rsidP="00EA3DD1">
            <w:pPr>
              <w:autoSpaceDE w:val="0"/>
              <w:autoSpaceDN w:val="0"/>
              <w:adjustRightInd w:val="0"/>
              <w:spacing w:after="120" w:line="240" w:lineRule="auto"/>
              <w:jc w:val="both"/>
              <w:rPr>
                <w:rFonts w:asciiTheme="majorHAnsi" w:hAnsiTheme="majorHAnsi" w:cs="Segoe UI Emoji"/>
                <w:color w:val="000000"/>
                <w:sz w:val="24"/>
                <w:szCs w:val="24"/>
              </w:rPr>
            </w:pPr>
          </w:p>
        </w:tc>
      </w:tr>
    </w:tbl>
    <w:p w:rsidR="00EA3DD1" w:rsidRPr="00A10DC8" w:rsidRDefault="00EA3DD1" w:rsidP="00AF71A8">
      <w:pPr>
        <w:spacing w:after="120" w:line="240" w:lineRule="auto"/>
        <w:jc w:val="both"/>
        <w:rPr>
          <w:rFonts w:asciiTheme="majorHAnsi" w:hAnsiTheme="majorHAnsi"/>
          <w:sz w:val="24"/>
          <w:szCs w:val="24"/>
        </w:rPr>
      </w:pPr>
    </w:p>
    <w:p w:rsidR="00CB5B55" w:rsidRPr="00CB5B55" w:rsidRDefault="00CB5B55" w:rsidP="00CB5B55">
      <w:pPr>
        <w:autoSpaceDE w:val="0"/>
        <w:autoSpaceDN w:val="0"/>
        <w:adjustRightInd w:val="0"/>
        <w:spacing w:after="120" w:line="240" w:lineRule="auto"/>
        <w:jc w:val="both"/>
        <w:rPr>
          <w:rFonts w:asciiTheme="majorHAnsi" w:hAnsiTheme="majorHAnsi" w:cs="Segoe UI Emoji"/>
          <w:color w:val="000000"/>
          <w:sz w:val="24"/>
          <w:szCs w:val="24"/>
        </w:rPr>
      </w:pPr>
      <w:r w:rsidRPr="00CB5B55">
        <w:rPr>
          <w:rFonts w:asciiTheme="majorHAnsi" w:hAnsiTheme="majorHAnsi" w:cs="Segoe UI Emoji"/>
          <w:color w:val="000000"/>
          <w:sz w:val="24"/>
          <w:szCs w:val="24"/>
        </w:rPr>
        <w:t xml:space="preserve">4. "Producción e investigación estratégica nacional". </w:t>
      </w:r>
    </w:p>
    <w:p w:rsidR="00CB5B55" w:rsidRPr="00CB5B55" w:rsidRDefault="00CB5B55" w:rsidP="00CB5B55">
      <w:pPr>
        <w:autoSpaceDE w:val="0"/>
        <w:autoSpaceDN w:val="0"/>
        <w:adjustRightInd w:val="0"/>
        <w:spacing w:after="120" w:line="240" w:lineRule="auto"/>
        <w:jc w:val="both"/>
        <w:rPr>
          <w:rFonts w:asciiTheme="majorHAnsi" w:hAnsiTheme="majorHAnsi" w:cs="Segoe UI Emoji"/>
          <w:color w:val="000000"/>
          <w:sz w:val="24"/>
          <w:szCs w:val="24"/>
        </w:rPr>
      </w:pPr>
      <w:r w:rsidRPr="00CB5B55">
        <w:rPr>
          <w:rFonts w:asciiTheme="majorHAnsi" w:hAnsiTheme="majorHAnsi" w:cs="Segoe UI Emoji"/>
          <w:color w:val="000000"/>
          <w:sz w:val="24"/>
          <w:szCs w:val="24"/>
        </w:rPr>
        <w:t xml:space="preserve">Problemática, cifras y estudios que sustentan este componente </w:t>
      </w:r>
    </w:p>
    <w:p w:rsidR="00CB5B55" w:rsidRPr="00CB5B55" w:rsidRDefault="00CB5B55" w:rsidP="00CB5B55">
      <w:pPr>
        <w:autoSpaceDE w:val="0"/>
        <w:autoSpaceDN w:val="0"/>
        <w:adjustRightInd w:val="0"/>
        <w:spacing w:after="120" w:line="240" w:lineRule="auto"/>
        <w:jc w:val="both"/>
        <w:rPr>
          <w:rFonts w:asciiTheme="majorHAnsi" w:hAnsiTheme="majorHAnsi" w:cs="Segoe UI Emoji"/>
          <w:color w:val="000000"/>
          <w:sz w:val="24"/>
          <w:szCs w:val="24"/>
        </w:rPr>
      </w:pPr>
      <w:r w:rsidRPr="00CB5B55">
        <w:rPr>
          <w:rFonts w:asciiTheme="majorHAnsi" w:hAnsiTheme="majorHAnsi" w:cs="Segoe UI Emoji"/>
          <w:color w:val="000000"/>
          <w:sz w:val="24"/>
          <w:szCs w:val="24"/>
        </w:rPr>
        <w:t>El gasto en ciencia y tecnología de Colombia es sustancialmente bajo (0.27% del PIB</w:t>
      </w:r>
      <w:r w:rsidRPr="00A10DC8">
        <w:rPr>
          <w:rStyle w:val="Refdenotaalpie"/>
          <w:rFonts w:asciiTheme="majorHAnsi" w:hAnsiTheme="majorHAnsi" w:cs="Segoe UI Emoji"/>
          <w:color w:val="000000"/>
          <w:sz w:val="24"/>
          <w:szCs w:val="24"/>
        </w:rPr>
        <w:footnoteReference w:id="52"/>
      </w:r>
      <w:r w:rsidRPr="00CB5B55">
        <w:rPr>
          <w:rFonts w:asciiTheme="majorHAnsi" w:hAnsiTheme="majorHAnsi" w:cs="Segoe UI Emoji"/>
          <w:color w:val="000000"/>
          <w:sz w:val="24"/>
          <w:szCs w:val="24"/>
        </w:rPr>
        <w:t xml:space="preserve">) al del promedio de países OECD (2.2%). si la meta de destinación de recursos en los próximos cuatro años es de al menos al 1% del PIB, la tercera parte de estos recursos debería destinarse a la investigación biomédica local, cuyos desarrollos se orienten a resolver problemas de salud estratégicos del país. </w:t>
      </w:r>
    </w:p>
    <w:p w:rsidR="00CB5B55" w:rsidRPr="00CB5B55" w:rsidRDefault="00CB5B55" w:rsidP="00CB5B55">
      <w:pPr>
        <w:autoSpaceDE w:val="0"/>
        <w:autoSpaceDN w:val="0"/>
        <w:adjustRightInd w:val="0"/>
        <w:spacing w:after="120" w:line="240" w:lineRule="auto"/>
        <w:jc w:val="both"/>
        <w:rPr>
          <w:rFonts w:asciiTheme="majorHAnsi" w:hAnsiTheme="majorHAnsi" w:cs="Segoe UI Emoji"/>
          <w:color w:val="000000"/>
          <w:sz w:val="24"/>
          <w:szCs w:val="24"/>
        </w:rPr>
      </w:pPr>
      <w:r w:rsidRPr="00CB5B55">
        <w:rPr>
          <w:rFonts w:asciiTheme="majorHAnsi" w:hAnsiTheme="majorHAnsi" w:cs="Segoe UI Emoji"/>
          <w:color w:val="000000"/>
          <w:sz w:val="24"/>
          <w:szCs w:val="24"/>
        </w:rPr>
        <w:t xml:space="preserve">Para garantizar que los recursos se asignan adecuadamente debe evaluarse y rediseñarse el sistema de ciencia tecnología e innovación, incluido Colciencias, y fortalecer la transparencia, la gobernanza y rendición de cuentas de las entidades que lo componen. </w:t>
      </w:r>
    </w:p>
    <w:p w:rsidR="00CB5B55" w:rsidRPr="00CB5B55" w:rsidRDefault="00CB5B55" w:rsidP="00CB5B55">
      <w:pPr>
        <w:autoSpaceDE w:val="0"/>
        <w:autoSpaceDN w:val="0"/>
        <w:adjustRightInd w:val="0"/>
        <w:spacing w:after="120" w:line="240" w:lineRule="auto"/>
        <w:jc w:val="both"/>
        <w:rPr>
          <w:rFonts w:asciiTheme="majorHAnsi" w:hAnsiTheme="majorHAnsi" w:cs="Segoe UI Emoji"/>
          <w:color w:val="000000"/>
          <w:sz w:val="24"/>
          <w:szCs w:val="24"/>
        </w:rPr>
      </w:pPr>
      <w:r w:rsidRPr="00CB5B55">
        <w:rPr>
          <w:rFonts w:asciiTheme="majorHAnsi" w:hAnsiTheme="majorHAnsi" w:cs="Segoe UI Emoji"/>
          <w:color w:val="000000"/>
          <w:sz w:val="24"/>
          <w:szCs w:val="24"/>
        </w:rPr>
        <w:t xml:space="preserve">En los últimos 7 años el país adoptó una política de aumento de concesión de patentes, de manera más rápida y más “fácil” buscando estimular la innovación. Pero es necesario analizar objetivamente las ventajas y las desventajas de este modelo. </w:t>
      </w:r>
    </w:p>
    <w:p w:rsidR="00CB5B55" w:rsidRPr="00CB5B55" w:rsidRDefault="00CB5B55" w:rsidP="00CB5B55">
      <w:pPr>
        <w:autoSpaceDE w:val="0"/>
        <w:autoSpaceDN w:val="0"/>
        <w:adjustRightInd w:val="0"/>
        <w:spacing w:after="120" w:line="240" w:lineRule="auto"/>
        <w:jc w:val="both"/>
        <w:rPr>
          <w:rFonts w:asciiTheme="majorHAnsi" w:hAnsiTheme="majorHAnsi" w:cs="Segoe UI Emoji"/>
          <w:color w:val="000000"/>
          <w:sz w:val="24"/>
          <w:szCs w:val="24"/>
        </w:rPr>
      </w:pPr>
      <w:r w:rsidRPr="00CB5B55">
        <w:rPr>
          <w:rFonts w:asciiTheme="majorHAnsi" w:hAnsiTheme="majorHAnsi" w:cs="Segoe UI Emoji"/>
          <w:color w:val="000000"/>
          <w:sz w:val="24"/>
          <w:szCs w:val="24"/>
        </w:rPr>
        <w:t xml:space="preserve">En el caso de los medicamentos y dispositivos médicos, el monopolio de las patentes genera precios muy altos, que en la mayoría de los casos el Estado debe pagar a través del sistema de salud. </w:t>
      </w:r>
    </w:p>
    <w:p w:rsidR="00CB5B55" w:rsidRPr="00A10DC8" w:rsidRDefault="00CB5B55" w:rsidP="00CB5B55">
      <w:pPr>
        <w:pStyle w:val="Default"/>
        <w:spacing w:after="120"/>
        <w:jc w:val="both"/>
        <w:rPr>
          <w:rFonts w:asciiTheme="majorHAnsi" w:hAnsiTheme="majorHAnsi" w:cs="Segoe UI Emoji"/>
        </w:rPr>
      </w:pPr>
      <w:r w:rsidRPr="00A10DC8">
        <w:rPr>
          <w:rFonts w:asciiTheme="majorHAnsi" w:hAnsiTheme="majorHAnsi" w:cs="Segoe UI Emoji"/>
        </w:rPr>
        <w:t>El país se ha centrado en la concesión de patentes como único incentivo a la innovación, sin considerar que se requieren simultáneamente otros incentivos. Por ejemplo premios a los investigadores o políticas de financiación focalizada, como lo sugieren estudios rigurosos. El informe del Panel de Alto Nivel sobre Acceso a Medicamentos de Naciones Unidas sugiere que no hay causalidad entre más patentes, más innovación y más desarrollo</w:t>
      </w:r>
      <w:r w:rsidRPr="00A10DC8">
        <w:rPr>
          <w:rStyle w:val="Refdenotaalpie"/>
          <w:rFonts w:asciiTheme="majorHAnsi" w:hAnsiTheme="majorHAnsi" w:cs="Segoe UI Emoji"/>
        </w:rPr>
        <w:footnoteReference w:id="53"/>
      </w:r>
      <w:r w:rsidRPr="00A10DC8">
        <w:rPr>
          <w:rFonts w:asciiTheme="majorHAnsi" w:hAnsiTheme="majorHAnsi" w:cs="Segoe UI Emoji"/>
        </w:rPr>
        <w:t xml:space="preserve">. En el mejor de los casos hay correlaciones que se dan en presencia de otras condiciones como alta inversión pública y privada en educación, ciencia y tecnología, capital de riesgo, etc. </w:t>
      </w:r>
    </w:p>
    <w:p w:rsidR="00CB5B55" w:rsidRPr="00CB5B55" w:rsidRDefault="00CB5B55" w:rsidP="00CB5B55">
      <w:pPr>
        <w:autoSpaceDE w:val="0"/>
        <w:autoSpaceDN w:val="0"/>
        <w:adjustRightInd w:val="0"/>
        <w:spacing w:after="120" w:line="240" w:lineRule="auto"/>
        <w:jc w:val="both"/>
        <w:rPr>
          <w:rFonts w:asciiTheme="majorHAnsi" w:hAnsiTheme="majorHAnsi" w:cs="Segoe UI Emoji"/>
          <w:color w:val="000000"/>
          <w:sz w:val="24"/>
          <w:szCs w:val="24"/>
        </w:rPr>
      </w:pPr>
      <w:r w:rsidRPr="00CB5B55">
        <w:rPr>
          <w:rFonts w:asciiTheme="majorHAnsi" w:hAnsiTheme="majorHAnsi" w:cs="Segoe UI Emoji"/>
          <w:color w:val="000000"/>
          <w:sz w:val="24"/>
          <w:szCs w:val="24"/>
        </w:rPr>
        <w:t xml:space="preserve">En el país se aumentó el porcentaje de solicitudes de patentes de nacionales de 14% en 2015, a cerca de 25% entre 2016 y 2017. Pero en 2016 de cada 5 solicitudes </w:t>
      </w:r>
      <w:r w:rsidRPr="00CB5B55">
        <w:rPr>
          <w:rFonts w:asciiTheme="majorHAnsi" w:hAnsiTheme="majorHAnsi" w:cs="Segoe UI Emoji"/>
          <w:color w:val="000000"/>
          <w:sz w:val="24"/>
          <w:szCs w:val="24"/>
        </w:rPr>
        <w:lastRenderedPageBreak/>
        <w:t>presentadas por colombianos, se concedió 1. Una tasa de concesión del 20%, mientras para extranjeros bordeó el 50%</w:t>
      </w:r>
      <w:r w:rsidRPr="00A10DC8">
        <w:rPr>
          <w:rStyle w:val="Refdenotaalpie"/>
          <w:rFonts w:asciiTheme="majorHAnsi" w:hAnsiTheme="majorHAnsi" w:cs="Segoe UI Emoji"/>
          <w:color w:val="000000"/>
          <w:sz w:val="24"/>
          <w:szCs w:val="24"/>
        </w:rPr>
        <w:footnoteReference w:id="54"/>
      </w:r>
      <w:r w:rsidRPr="00CB5B55">
        <w:rPr>
          <w:rFonts w:asciiTheme="majorHAnsi" w:hAnsiTheme="majorHAnsi" w:cs="Segoe UI Emoji"/>
          <w:color w:val="000000"/>
          <w:sz w:val="24"/>
          <w:szCs w:val="24"/>
        </w:rPr>
        <w:t xml:space="preserve">. </w:t>
      </w:r>
    </w:p>
    <w:p w:rsidR="00CB5B55" w:rsidRPr="00CB5B55" w:rsidRDefault="00CB5B55" w:rsidP="00CB5B55">
      <w:pPr>
        <w:autoSpaceDE w:val="0"/>
        <w:autoSpaceDN w:val="0"/>
        <w:adjustRightInd w:val="0"/>
        <w:spacing w:after="120" w:line="240" w:lineRule="auto"/>
        <w:jc w:val="both"/>
        <w:rPr>
          <w:rFonts w:asciiTheme="majorHAnsi" w:hAnsiTheme="majorHAnsi" w:cs="Segoe UI Emoji"/>
          <w:color w:val="000000"/>
          <w:sz w:val="24"/>
          <w:szCs w:val="24"/>
        </w:rPr>
      </w:pPr>
      <w:r w:rsidRPr="00CB5B55">
        <w:rPr>
          <w:rFonts w:asciiTheme="majorHAnsi" w:hAnsiTheme="majorHAnsi" w:cs="Segoe UI Emoji"/>
          <w:color w:val="000000"/>
          <w:sz w:val="24"/>
          <w:szCs w:val="24"/>
        </w:rPr>
        <w:t xml:space="preserve">De las pocas universidades y empresas locales que logran patentar, la mayoría sólo lo hacen en el país, y son aún menos las que logran comercializar el producto o proceso patentado. Esto sin considerar que para las universidades los costos de obtener y mantener las patentes </w:t>
      </w:r>
      <w:proofErr w:type="gramStart"/>
      <w:r w:rsidRPr="00CB5B55">
        <w:rPr>
          <w:rFonts w:asciiTheme="majorHAnsi" w:hAnsiTheme="majorHAnsi" w:cs="Segoe UI Emoji"/>
          <w:color w:val="000000"/>
          <w:sz w:val="24"/>
          <w:szCs w:val="24"/>
        </w:rPr>
        <w:t>pueden</w:t>
      </w:r>
      <w:proofErr w:type="gramEnd"/>
      <w:r w:rsidRPr="00CB5B55">
        <w:rPr>
          <w:rFonts w:asciiTheme="majorHAnsi" w:hAnsiTheme="majorHAnsi" w:cs="Segoe UI Emoji"/>
          <w:color w:val="000000"/>
          <w:sz w:val="24"/>
          <w:szCs w:val="24"/>
        </w:rPr>
        <w:t xml:space="preserve"> ser más altos, que los ingresos por regalías. </w:t>
      </w:r>
    </w:p>
    <w:p w:rsidR="00CB5B55" w:rsidRPr="00CB5B55" w:rsidRDefault="00CB5B55" w:rsidP="00CB5B55">
      <w:pPr>
        <w:autoSpaceDE w:val="0"/>
        <w:autoSpaceDN w:val="0"/>
        <w:adjustRightInd w:val="0"/>
        <w:spacing w:after="120" w:line="240" w:lineRule="auto"/>
        <w:jc w:val="both"/>
        <w:rPr>
          <w:rFonts w:asciiTheme="majorHAnsi" w:hAnsiTheme="majorHAnsi" w:cs="Segoe UI Emoji"/>
          <w:color w:val="000000"/>
          <w:sz w:val="24"/>
          <w:szCs w:val="24"/>
        </w:rPr>
      </w:pPr>
      <w:r w:rsidRPr="00CB5B55">
        <w:rPr>
          <w:rFonts w:asciiTheme="majorHAnsi" w:hAnsiTheme="majorHAnsi" w:cs="Segoe UI Emoji"/>
          <w:color w:val="000000"/>
          <w:sz w:val="24"/>
          <w:szCs w:val="24"/>
        </w:rPr>
        <w:t>De otro lado, se usan de manera insuficiente las salvaguardas que el sistema de propiedad intelectual establece para proteger la salud pública, aunque los Objetivos de Desarrollo Sostenible han invitado a los países a usarlas para cumplir las metas de salud globales</w:t>
      </w:r>
      <w:r w:rsidRPr="00A10DC8">
        <w:rPr>
          <w:rStyle w:val="Refdenotaalpie"/>
          <w:rFonts w:asciiTheme="majorHAnsi" w:hAnsiTheme="majorHAnsi" w:cs="Segoe UI Emoji"/>
          <w:color w:val="000000"/>
          <w:sz w:val="24"/>
          <w:szCs w:val="24"/>
        </w:rPr>
        <w:footnoteReference w:id="55"/>
      </w:r>
      <w:r w:rsidRPr="00CB5B55">
        <w:rPr>
          <w:rFonts w:asciiTheme="majorHAnsi" w:hAnsiTheme="majorHAnsi" w:cs="Segoe UI Emoji"/>
          <w:color w:val="000000"/>
          <w:sz w:val="24"/>
          <w:szCs w:val="24"/>
        </w:rPr>
        <w:t xml:space="preserve">. </w:t>
      </w:r>
    </w:p>
    <w:p w:rsidR="00CB5B55" w:rsidRPr="00CB5B55" w:rsidRDefault="00CB5B55" w:rsidP="00CB5B55">
      <w:pPr>
        <w:autoSpaceDE w:val="0"/>
        <w:autoSpaceDN w:val="0"/>
        <w:adjustRightInd w:val="0"/>
        <w:spacing w:after="120" w:line="240" w:lineRule="auto"/>
        <w:jc w:val="both"/>
        <w:rPr>
          <w:rFonts w:asciiTheme="majorHAnsi" w:hAnsiTheme="majorHAnsi" w:cs="Segoe UI Emoji"/>
          <w:color w:val="000000"/>
          <w:sz w:val="24"/>
          <w:szCs w:val="24"/>
        </w:rPr>
      </w:pPr>
      <w:r w:rsidRPr="00CB5B55">
        <w:rPr>
          <w:rFonts w:asciiTheme="majorHAnsi" w:hAnsiTheme="majorHAnsi" w:cs="Segoe UI Emoji"/>
          <w:color w:val="000000"/>
          <w:sz w:val="24"/>
          <w:szCs w:val="24"/>
        </w:rPr>
        <w:t xml:space="preserve">Contrario a lo que podría creerse, la principal flexibilidad en el campo de las patentes no se refiere al uso de las licencias obligatorias, sino la autonomía de los países para interpretar y aplicar rigurosamente lo criterios de </w:t>
      </w:r>
      <w:proofErr w:type="spellStart"/>
      <w:r w:rsidRPr="00CB5B55">
        <w:rPr>
          <w:rFonts w:asciiTheme="majorHAnsi" w:hAnsiTheme="majorHAnsi" w:cs="Segoe UI Emoji"/>
          <w:color w:val="000000"/>
          <w:sz w:val="24"/>
          <w:szCs w:val="24"/>
        </w:rPr>
        <w:t>patentabilidad</w:t>
      </w:r>
      <w:proofErr w:type="spellEnd"/>
      <w:r w:rsidRPr="00CB5B55">
        <w:rPr>
          <w:rFonts w:asciiTheme="majorHAnsi" w:hAnsiTheme="majorHAnsi" w:cs="Segoe UI Emoji"/>
          <w:color w:val="000000"/>
          <w:sz w:val="24"/>
          <w:szCs w:val="24"/>
        </w:rPr>
        <w:t xml:space="preserve">. También la posibilidad de presentar de forma activa oposiciones, desde los Ministerios de Salud y otros sujetos, para actuar oportunamente, aportar información y evitar que se otorguen monopolios inmerecidos, como una medida preventiva de la presión de las innovaciones sobre el gasto público. </w:t>
      </w:r>
    </w:p>
    <w:p w:rsidR="006B0F79" w:rsidRPr="00A10DC8" w:rsidRDefault="00CB5B55" w:rsidP="006B0F79">
      <w:pPr>
        <w:pStyle w:val="Default"/>
        <w:spacing w:after="120"/>
        <w:ind w:left="851" w:right="758"/>
        <w:jc w:val="both"/>
        <w:rPr>
          <w:rFonts w:asciiTheme="majorHAnsi" w:hAnsiTheme="majorHAnsi" w:cs="Segoe UI Emoji"/>
        </w:rPr>
      </w:pPr>
      <w:r w:rsidRPr="00A10DC8">
        <w:rPr>
          <w:rFonts w:asciiTheme="majorHAnsi" w:hAnsiTheme="majorHAnsi" w:cs="Segoe UI Emoji"/>
        </w:rPr>
        <w:t>En el país se presentan entre 400 y 600 solicitudes de patentes farmacéuticas, sin contar las clasificadas como biotecnológicas. Se conceden anualmente más de 250 en ambos campos</w:t>
      </w:r>
      <w:r w:rsidRPr="00A10DC8">
        <w:rPr>
          <w:rStyle w:val="Refdenotaalpie"/>
          <w:rFonts w:asciiTheme="majorHAnsi" w:hAnsiTheme="majorHAnsi" w:cs="Segoe UI Emoji"/>
        </w:rPr>
        <w:footnoteReference w:id="56"/>
      </w:r>
      <w:r w:rsidRPr="00A10DC8">
        <w:rPr>
          <w:rFonts w:asciiTheme="majorHAnsi" w:hAnsiTheme="majorHAnsi" w:cs="Segoe UI Emoji"/>
        </w:rPr>
        <w:t>. Por ello los esfuerzos que haga el país deben articular al sector salud y al sector comercio, en la búsqueda de mayor coherencia en las políticas públicas para el acceso a medicamentos. Las políticas</w:t>
      </w:r>
      <w:r w:rsidR="006B0F79" w:rsidRPr="00A10DC8">
        <w:rPr>
          <w:rFonts w:asciiTheme="majorHAnsi" w:hAnsiTheme="majorHAnsi" w:cs="Segoe UI Emoji"/>
        </w:rPr>
        <w:t xml:space="preserve"> públicas en salud, siempre se quedarán cortas, si las políticas de comercio van en sentido opuesto</w:t>
      </w:r>
      <w:r w:rsidR="006B0F79" w:rsidRPr="00A10DC8">
        <w:rPr>
          <w:rStyle w:val="Refdenotaalpie"/>
          <w:rFonts w:asciiTheme="majorHAnsi" w:hAnsiTheme="majorHAnsi" w:cs="Segoe UI Emoji"/>
        </w:rPr>
        <w:footnoteReference w:id="57"/>
      </w:r>
      <w:r w:rsidR="006B0F79" w:rsidRPr="00A10DC8">
        <w:rPr>
          <w:rFonts w:asciiTheme="majorHAnsi" w:hAnsiTheme="majorHAnsi" w:cs="Segoe UI Emoji"/>
        </w:rPr>
        <w:t xml:space="preserve">. </w:t>
      </w:r>
    </w:p>
    <w:p w:rsidR="00D018E4" w:rsidRPr="00A10DC8" w:rsidRDefault="00D018E4" w:rsidP="006B0F79">
      <w:pPr>
        <w:autoSpaceDE w:val="0"/>
        <w:autoSpaceDN w:val="0"/>
        <w:adjustRightInd w:val="0"/>
        <w:spacing w:after="120" w:line="240" w:lineRule="auto"/>
        <w:jc w:val="both"/>
        <w:rPr>
          <w:rFonts w:asciiTheme="majorHAnsi" w:hAnsiTheme="majorHAnsi" w:cs="Calibri"/>
          <w:color w:val="000000"/>
          <w:sz w:val="24"/>
          <w:szCs w:val="24"/>
        </w:rPr>
      </w:pPr>
    </w:p>
    <w:p w:rsidR="006B0F79" w:rsidRPr="006B0F79" w:rsidRDefault="006B0F79" w:rsidP="006B0F79">
      <w:pPr>
        <w:autoSpaceDE w:val="0"/>
        <w:autoSpaceDN w:val="0"/>
        <w:adjustRightInd w:val="0"/>
        <w:spacing w:after="120" w:line="240" w:lineRule="auto"/>
        <w:jc w:val="both"/>
        <w:rPr>
          <w:rFonts w:asciiTheme="majorHAnsi" w:hAnsiTheme="majorHAnsi" w:cs="Segoe UI Emoji"/>
          <w:color w:val="000000"/>
          <w:sz w:val="24"/>
          <w:szCs w:val="24"/>
        </w:rPr>
      </w:pPr>
      <w:r w:rsidRPr="006B0F79">
        <w:rPr>
          <w:rFonts w:asciiTheme="majorHAnsi" w:hAnsiTheme="majorHAnsi" w:cs="Segoe UI Emoji"/>
          <w:color w:val="000000"/>
          <w:sz w:val="24"/>
          <w:szCs w:val="24"/>
        </w:rPr>
        <w:t xml:space="preserve">La gran cantidad de patentes concedidas a extranjeros limitan la competencia, la libertad de operación de otras empresas y, en la práctica, limitan la presencia de genéricos y </w:t>
      </w:r>
      <w:proofErr w:type="spellStart"/>
      <w:r w:rsidRPr="006B0F79">
        <w:rPr>
          <w:rFonts w:asciiTheme="majorHAnsi" w:hAnsiTheme="majorHAnsi" w:cs="Segoe UI Emoji"/>
          <w:color w:val="000000"/>
          <w:sz w:val="24"/>
          <w:szCs w:val="24"/>
        </w:rPr>
        <w:t>biogenéricos</w:t>
      </w:r>
      <w:proofErr w:type="spellEnd"/>
      <w:r w:rsidRPr="006B0F79">
        <w:rPr>
          <w:rFonts w:asciiTheme="majorHAnsi" w:hAnsiTheme="majorHAnsi" w:cs="Segoe UI Emoji"/>
          <w:color w:val="000000"/>
          <w:sz w:val="24"/>
          <w:szCs w:val="24"/>
        </w:rPr>
        <w:t xml:space="preserve"> en el mercado. Países como Argentina y Brasil tienen sistemas de patentes estrictos y son líderes en biotecnología y farmacéuticos en Suramérica. Estos países buscan un balance entre la “libertad de operación” que posibilita la competencia de sus industrias nacionales y la protección a desarrollos </w:t>
      </w:r>
      <w:r w:rsidRPr="006B0F79">
        <w:rPr>
          <w:rFonts w:asciiTheme="majorHAnsi" w:hAnsiTheme="majorHAnsi" w:cs="Segoe UI Emoji"/>
          <w:color w:val="000000"/>
          <w:sz w:val="24"/>
          <w:szCs w:val="24"/>
        </w:rPr>
        <w:lastRenderedPageBreak/>
        <w:t xml:space="preserve">extranjeros y nacionales, siempre y cuando se cumplan plenamente los requisitos de </w:t>
      </w:r>
      <w:proofErr w:type="spellStart"/>
      <w:r w:rsidRPr="006B0F79">
        <w:rPr>
          <w:rFonts w:asciiTheme="majorHAnsi" w:hAnsiTheme="majorHAnsi" w:cs="Segoe UI Emoji"/>
          <w:color w:val="000000"/>
          <w:sz w:val="24"/>
          <w:szCs w:val="24"/>
        </w:rPr>
        <w:t>patentabilidad</w:t>
      </w:r>
      <w:proofErr w:type="spellEnd"/>
      <w:r w:rsidRPr="006B0F79">
        <w:rPr>
          <w:rFonts w:asciiTheme="majorHAnsi" w:hAnsiTheme="majorHAnsi" w:cs="Segoe UI Emoji"/>
          <w:color w:val="000000"/>
          <w:sz w:val="24"/>
          <w:szCs w:val="24"/>
        </w:rPr>
        <w:t xml:space="preserve">. </w:t>
      </w:r>
    </w:p>
    <w:p w:rsidR="006B0F79" w:rsidRPr="006B0F79" w:rsidRDefault="006B0F79" w:rsidP="006B0F79">
      <w:pPr>
        <w:autoSpaceDE w:val="0"/>
        <w:autoSpaceDN w:val="0"/>
        <w:adjustRightInd w:val="0"/>
        <w:spacing w:after="120" w:line="240" w:lineRule="auto"/>
        <w:jc w:val="both"/>
        <w:rPr>
          <w:rFonts w:asciiTheme="majorHAnsi" w:hAnsiTheme="majorHAnsi" w:cs="Segoe UI Emoji"/>
          <w:color w:val="000000"/>
          <w:sz w:val="24"/>
          <w:szCs w:val="24"/>
        </w:rPr>
      </w:pPr>
      <w:r w:rsidRPr="006B0F79">
        <w:rPr>
          <w:rFonts w:asciiTheme="majorHAnsi" w:hAnsiTheme="majorHAnsi" w:cs="Segoe UI Emoji"/>
          <w:color w:val="000000"/>
          <w:sz w:val="24"/>
          <w:szCs w:val="24"/>
        </w:rPr>
        <w:t xml:space="preserve">Los temas de propiedad intelectual e innovación con enfoque de salud pública son los que mayores debates y tensiones generan, al lado de los de regulación de precios. Esto -en parte- por el alto nivel de armonización global de las medidas de protección que el país ha adoptado en el marco de los acuerdos de integración, y en ocasiones por falta de voluntad política sectorial, que hace compleja cualquier medida de intervención. Se sugiere entonces iniciar con esquemas menos desgastantes y que generen cambios graduales asociados a la observación y control institucional y social de los procesos de examen y otorgamiento de patentes y a partir de ello, propiciar debates y reflexiones que permitan “innovar” en el modelo de gestión de la innovación. Ya existen algunos casos internacionales basados en incentivos alternativos o complementarios, como los desarrollos de </w:t>
      </w:r>
      <w:proofErr w:type="spellStart"/>
      <w:r w:rsidRPr="006B0F79">
        <w:rPr>
          <w:rFonts w:asciiTheme="majorHAnsi" w:hAnsiTheme="majorHAnsi" w:cs="Segoe UI Emoji"/>
          <w:color w:val="000000"/>
          <w:sz w:val="24"/>
          <w:szCs w:val="24"/>
        </w:rPr>
        <w:t>DNDi</w:t>
      </w:r>
      <w:proofErr w:type="spellEnd"/>
      <w:r w:rsidRPr="006B0F79">
        <w:rPr>
          <w:rFonts w:asciiTheme="majorHAnsi" w:hAnsiTheme="majorHAnsi" w:cs="Segoe UI Emoji"/>
          <w:color w:val="000000"/>
          <w:sz w:val="24"/>
          <w:szCs w:val="24"/>
        </w:rPr>
        <w:t xml:space="preserve"> “iniciativa para medicamentos enfermedades olvidadas”</w:t>
      </w:r>
      <w:r w:rsidRPr="00A10DC8">
        <w:rPr>
          <w:rStyle w:val="Refdenotaalpie"/>
          <w:rFonts w:asciiTheme="majorHAnsi" w:hAnsiTheme="majorHAnsi" w:cs="Segoe UI Emoji"/>
          <w:color w:val="000000"/>
          <w:sz w:val="24"/>
          <w:szCs w:val="24"/>
        </w:rPr>
        <w:footnoteReference w:id="58"/>
      </w:r>
      <w:r w:rsidRPr="006B0F79">
        <w:rPr>
          <w:rFonts w:asciiTheme="majorHAnsi" w:hAnsiTheme="majorHAnsi" w:cs="Segoe UI Emoji"/>
          <w:color w:val="000000"/>
          <w:sz w:val="24"/>
          <w:szCs w:val="24"/>
        </w:rPr>
        <w:t xml:space="preserve"> </w:t>
      </w:r>
    </w:p>
    <w:p w:rsidR="006B0F79" w:rsidRPr="006B0F79" w:rsidRDefault="006B0F79" w:rsidP="006B0F79">
      <w:pPr>
        <w:autoSpaceDE w:val="0"/>
        <w:autoSpaceDN w:val="0"/>
        <w:adjustRightInd w:val="0"/>
        <w:spacing w:after="120" w:line="240" w:lineRule="auto"/>
        <w:jc w:val="both"/>
        <w:rPr>
          <w:rFonts w:asciiTheme="majorHAnsi" w:hAnsiTheme="majorHAnsi" w:cs="Segoe UI Emoji"/>
          <w:color w:val="000000"/>
          <w:sz w:val="24"/>
          <w:szCs w:val="24"/>
        </w:rPr>
      </w:pPr>
      <w:r w:rsidRPr="006B0F79">
        <w:rPr>
          <w:rFonts w:asciiTheme="majorHAnsi" w:hAnsiTheme="majorHAnsi" w:cs="Segoe UI Emoji"/>
          <w:color w:val="000000"/>
          <w:sz w:val="24"/>
          <w:szCs w:val="24"/>
        </w:rPr>
        <w:t>De acuerdo con el INVIMA, al país llegan al menos 100 estudios clínicos nuevos cada año. En 2016, 924 investigaciones clínicas se encontraban en marcha en Colombia, el quinto país de la región en número de estudios</w:t>
      </w:r>
      <w:r w:rsidR="00D018E4" w:rsidRPr="00A10DC8">
        <w:rPr>
          <w:rStyle w:val="Refdenotaalpie"/>
          <w:rFonts w:asciiTheme="majorHAnsi" w:hAnsiTheme="majorHAnsi" w:cs="Segoe UI Emoji"/>
          <w:color w:val="000000"/>
          <w:sz w:val="24"/>
          <w:szCs w:val="24"/>
        </w:rPr>
        <w:footnoteReference w:id="59"/>
      </w:r>
      <w:r w:rsidRPr="006B0F79">
        <w:rPr>
          <w:rFonts w:asciiTheme="majorHAnsi" w:hAnsiTheme="majorHAnsi" w:cs="Segoe UI Emoji"/>
          <w:color w:val="000000"/>
          <w:sz w:val="24"/>
          <w:szCs w:val="24"/>
        </w:rPr>
        <w:t>. Aunque en diversos escenarios se ha declarado que el país podría convertirse en una potencia en esta área</w:t>
      </w:r>
      <w:r w:rsidR="00D018E4" w:rsidRPr="00A10DC8">
        <w:rPr>
          <w:rStyle w:val="Refdenotaalpie"/>
          <w:rFonts w:asciiTheme="majorHAnsi" w:hAnsiTheme="majorHAnsi" w:cs="Segoe UI Emoji"/>
          <w:color w:val="000000"/>
          <w:sz w:val="24"/>
          <w:szCs w:val="24"/>
        </w:rPr>
        <w:footnoteReference w:id="60"/>
      </w:r>
      <w:r w:rsidRPr="006B0F79">
        <w:rPr>
          <w:rFonts w:asciiTheme="majorHAnsi" w:hAnsiTheme="majorHAnsi" w:cs="Segoe UI Emoji"/>
          <w:color w:val="000000"/>
          <w:sz w:val="24"/>
          <w:szCs w:val="24"/>
        </w:rPr>
        <w:t xml:space="preserve">, esta decisión debe provenir de un análisis riguroso de los beneficios sociales y de sus implicaciones éticas y económicas. </w:t>
      </w:r>
    </w:p>
    <w:p w:rsidR="006B0F79" w:rsidRPr="006B0F79" w:rsidRDefault="006B0F79" w:rsidP="006B0F79">
      <w:pPr>
        <w:autoSpaceDE w:val="0"/>
        <w:autoSpaceDN w:val="0"/>
        <w:adjustRightInd w:val="0"/>
        <w:spacing w:after="120" w:line="240" w:lineRule="auto"/>
        <w:jc w:val="both"/>
        <w:rPr>
          <w:rFonts w:asciiTheme="majorHAnsi" w:hAnsiTheme="majorHAnsi" w:cs="Segoe UI Emoji"/>
          <w:color w:val="000000"/>
          <w:sz w:val="24"/>
          <w:szCs w:val="24"/>
        </w:rPr>
      </w:pPr>
      <w:r w:rsidRPr="006B0F79">
        <w:rPr>
          <w:rFonts w:asciiTheme="majorHAnsi" w:hAnsiTheme="majorHAnsi" w:cs="Segoe UI Emoji"/>
          <w:color w:val="000000"/>
          <w:sz w:val="24"/>
          <w:szCs w:val="24"/>
        </w:rPr>
        <w:t xml:space="preserve">La política debe incluir los lineamientos y la gobernanza para la definición de las prioridades de la investigación clínica del país, la protección de los individuos participantes, la consolidación de la red de comités de ética y los principios de transparencia de la investigación. </w:t>
      </w:r>
    </w:p>
    <w:p w:rsidR="00CB5B55" w:rsidRPr="00A10DC8" w:rsidRDefault="006B0F79" w:rsidP="006B0F79">
      <w:pPr>
        <w:spacing w:after="120" w:line="240" w:lineRule="auto"/>
        <w:jc w:val="both"/>
        <w:rPr>
          <w:rFonts w:asciiTheme="majorHAnsi" w:hAnsiTheme="majorHAnsi" w:cs="Segoe UI Emoji"/>
          <w:color w:val="000000"/>
          <w:sz w:val="24"/>
          <w:szCs w:val="24"/>
        </w:rPr>
      </w:pPr>
      <w:r w:rsidRPr="00A10DC8">
        <w:rPr>
          <w:rFonts w:asciiTheme="majorHAnsi" w:hAnsiTheme="majorHAnsi" w:cs="Segoe UI Emoji"/>
          <w:color w:val="000000"/>
          <w:sz w:val="24"/>
          <w:szCs w:val="24"/>
        </w:rPr>
        <w:t>La Agencia Europea de Medicamentos (EMA) estableció que la transparencia es un componente esencial en la investigación clínica</w:t>
      </w:r>
      <w:r w:rsidR="00D018E4" w:rsidRPr="00A10DC8">
        <w:rPr>
          <w:rStyle w:val="Refdenotaalpie"/>
          <w:rFonts w:asciiTheme="majorHAnsi" w:hAnsiTheme="majorHAnsi" w:cs="Segoe UI Emoji"/>
          <w:color w:val="000000"/>
          <w:sz w:val="24"/>
          <w:szCs w:val="24"/>
        </w:rPr>
        <w:footnoteReference w:id="61"/>
      </w:r>
      <w:r w:rsidRPr="00A10DC8">
        <w:rPr>
          <w:rFonts w:asciiTheme="majorHAnsi" w:hAnsiTheme="majorHAnsi" w:cs="Segoe UI Emoji"/>
          <w:color w:val="000000"/>
          <w:sz w:val="24"/>
          <w:szCs w:val="24"/>
        </w:rPr>
        <w:t>. En el marco de la iniciativa de transparencia de EMA se liberaron al público los datos relacionados con ensayos clínicos. Colombia debe establecer una plataforma que permita a los ciudadanos e investigadores acceder a los datos de la investigación clínica que se realiza en el país.</w:t>
      </w:r>
    </w:p>
    <w:p w:rsidR="00D018E4" w:rsidRPr="00D018E4" w:rsidRDefault="00D018E4" w:rsidP="00D018E4">
      <w:pPr>
        <w:autoSpaceDE w:val="0"/>
        <w:autoSpaceDN w:val="0"/>
        <w:adjustRightInd w:val="0"/>
        <w:spacing w:after="0" w:line="240" w:lineRule="auto"/>
        <w:jc w:val="center"/>
        <w:rPr>
          <w:rFonts w:asciiTheme="majorHAnsi" w:hAnsiTheme="majorHAnsi" w:cs="Segoe UI Emoji"/>
          <w:b/>
          <w:color w:val="000000"/>
          <w:sz w:val="24"/>
          <w:szCs w:val="24"/>
        </w:rPr>
      </w:pPr>
      <w:r w:rsidRPr="00D018E4">
        <w:rPr>
          <w:rFonts w:asciiTheme="majorHAnsi" w:hAnsiTheme="majorHAnsi" w:cs="Segoe UI Emoji"/>
          <w:b/>
          <w:color w:val="000000"/>
          <w:sz w:val="24"/>
          <w:szCs w:val="24"/>
        </w:rPr>
        <w:t>Propuestas</w:t>
      </w:r>
    </w:p>
    <w:p w:rsidR="00D018E4" w:rsidRPr="00837E91" w:rsidRDefault="00D018E4" w:rsidP="00D018E4">
      <w:pPr>
        <w:autoSpaceDE w:val="0"/>
        <w:autoSpaceDN w:val="0"/>
        <w:adjustRightInd w:val="0"/>
        <w:spacing w:after="0" w:line="240" w:lineRule="auto"/>
        <w:jc w:val="center"/>
        <w:rPr>
          <w:rFonts w:asciiTheme="majorHAnsi" w:hAnsiTheme="majorHAnsi" w:cs="Segoe UI Emoji"/>
          <w:b/>
          <w:color w:val="000000"/>
          <w:sz w:val="24"/>
          <w:szCs w:val="24"/>
        </w:rPr>
      </w:pPr>
      <w:r w:rsidRPr="00D018E4">
        <w:rPr>
          <w:rFonts w:asciiTheme="majorHAnsi" w:hAnsiTheme="majorHAnsi" w:cs="Segoe UI Emoji"/>
          <w:b/>
          <w:color w:val="000000"/>
          <w:sz w:val="24"/>
          <w:szCs w:val="24"/>
        </w:rPr>
        <w:t>"Producción e investigación estratégica nacional".</w:t>
      </w:r>
    </w:p>
    <w:p w:rsidR="00D018E4" w:rsidRPr="00D018E4" w:rsidRDefault="00D018E4" w:rsidP="00D018E4">
      <w:pPr>
        <w:autoSpaceDE w:val="0"/>
        <w:autoSpaceDN w:val="0"/>
        <w:adjustRightInd w:val="0"/>
        <w:spacing w:after="0" w:line="240" w:lineRule="auto"/>
        <w:jc w:val="center"/>
        <w:rPr>
          <w:rFonts w:asciiTheme="majorHAnsi" w:hAnsiTheme="majorHAnsi" w:cs="Segoe UI Emoji"/>
          <w:color w:val="000000"/>
          <w:sz w:val="24"/>
          <w:szCs w:val="24"/>
        </w:rPr>
      </w:pPr>
    </w:p>
    <w:p w:rsidR="00D018E4" w:rsidRPr="00A10DC8" w:rsidRDefault="00D018E4" w:rsidP="00D018E4">
      <w:pPr>
        <w:autoSpaceDE w:val="0"/>
        <w:autoSpaceDN w:val="0"/>
        <w:adjustRightInd w:val="0"/>
        <w:spacing w:after="0" w:line="240" w:lineRule="auto"/>
        <w:jc w:val="both"/>
        <w:rPr>
          <w:rFonts w:asciiTheme="majorHAnsi" w:hAnsiTheme="majorHAnsi" w:cs="Segoe UI Emoji"/>
          <w:color w:val="000000"/>
          <w:sz w:val="24"/>
          <w:szCs w:val="24"/>
        </w:rPr>
      </w:pPr>
      <w:r w:rsidRPr="00D018E4">
        <w:rPr>
          <w:rFonts w:asciiTheme="majorHAnsi" w:hAnsiTheme="majorHAnsi" w:cs="Segoe UI Emoji"/>
          <w:color w:val="000000"/>
          <w:sz w:val="24"/>
          <w:szCs w:val="24"/>
        </w:rPr>
        <w:t xml:space="preserve">Investigación Biomédica Básica </w:t>
      </w:r>
    </w:p>
    <w:p w:rsidR="00D018E4" w:rsidRPr="00D018E4" w:rsidRDefault="00D018E4" w:rsidP="00D018E4">
      <w:pPr>
        <w:autoSpaceDE w:val="0"/>
        <w:autoSpaceDN w:val="0"/>
        <w:adjustRightInd w:val="0"/>
        <w:spacing w:after="0" w:line="240" w:lineRule="auto"/>
        <w:jc w:val="both"/>
        <w:rPr>
          <w:rFonts w:asciiTheme="majorHAnsi" w:hAnsiTheme="majorHAnsi" w:cs="Segoe UI Emoji"/>
          <w:color w:val="000000"/>
          <w:sz w:val="24"/>
          <w:szCs w:val="24"/>
        </w:rPr>
      </w:pPr>
    </w:p>
    <w:p w:rsidR="00D018E4" w:rsidRPr="00D018E4" w:rsidRDefault="00D018E4" w:rsidP="00D018E4">
      <w:pPr>
        <w:autoSpaceDE w:val="0"/>
        <w:autoSpaceDN w:val="0"/>
        <w:adjustRightInd w:val="0"/>
        <w:spacing w:after="0" w:line="240" w:lineRule="auto"/>
        <w:jc w:val="both"/>
        <w:rPr>
          <w:rFonts w:asciiTheme="majorHAnsi" w:hAnsiTheme="majorHAnsi" w:cs="Segoe UI Emoji"/>
          <w:color w:val="000000"/>
          <w:sz w:val="24"/>
          <w:szCs w:val="24"/>
        </w:rPr>
      </w:pPr>
      <w:r w:rsidRPr="00D018E4">
        <w:rPr>
          <w:rFonts w:asciiTheme="majorHAnsi" w:hAnsiTheme="majorHAnsi" w:cs="Segoe UI Emoji"/>
          <w:color w:val="000000"/>
          <w:sz w:val="24"/>
          <w:szCs w:val="24"/>
        </w:rPr>
        <w:lastRenderedPageBreak/>
        <w:t xml:space="preserve">1. Destinar al menos el 30% de los recursos públicos de investigación a aquella innovación biomédica local orientada a las prioridades de salud pública; a la vez que fortalecer la transparencia, gobernanza y rendición de cuentas del sistema de ciencia, tecnología e innovación, incluido Colciencias. </w:t>
      </w:r>
    </w:p>
    <w:p w:rsidR="00D018E4" w:rsidRPr="00D018E4" w:rsidRDefault="00D018E4" w:rsidP="00D018E4">
      <w:pPr>
        <w:autoSpaceDE w:val="0"/>
        <w:autoSpaceDN w:val="0"/>
        <w:adjustRightInd w:val="0"/>
        <w:spacing w:after="0" w:line="240" w:lineRule="auto"/>
        <w:jc w:val="both"/>
        <w:rPr>
          <w:rFonts w:asciiTheme="majorHAnsi" w:hAnsiTheme="majorHAnsi" w:cs="Segoe UI Emoji"/>
          <w:color w:val="000000"/>
          <w:sz w:val="24"/>
          <w:szCs w:val="24"/>
        </w:rPr>
      </w:pPr>
    </w:p>
    <w:p w:rsidR="00D018E4" w:rsidRPr="00D018E4" w:rsidRDefault="00D018E4" w:rsidP="00D018E4">
      <w:pPr>
        <w:autoSpaceDE w:val="0"/>
        <w:autoSpaceDN w:val="0"/>
        <w:adjustRightInd w:val="0"/>
        <w:spacing w:after="0" w:line="240" w:lineRule="auto"/>
        <w:jc w:val="both"/>
        <w:rPr>
          <w:rFonts w:asciiTheme="majorHAnsi" w:hAnsiTheme="majorHAnsi" w:cs="Segoe UI Emoji"/>
          <w:color w:val="000000"/>
          <w:sz w:val="24"/>
          <w:szCs w:val="24"/>
        </w:rPr>
      </w:pPr>
      <w:r w:rsidRPr="00D018E4">
        <w:rPr>
          <w:rFonts w:asciiTheme="majorHAnsi" w:hAnsiTheme="majorHAnsi" w:cs="Segoe UI Emoji"/>
          <w:color w:val="000000"/>
          <w:sz w:val="24"/>
          <w:szCs w:val="24"/>
        </w:rPr>
        <w:t xml:space="preserve">2. Promover un sistema de propiedad industrial balanceado que posibilite la competencia y que considere la “libertad de operación”, como medidas preventivas de la presión sobre el gasto público. Ello incluye: </w:t>
      </w:r>
    </w:p>
    <w:p w:rsidR="00D018E4" w:rsidRPr="00D018E4" w:rsidRDefault="00D018E4" w:rsidP="00D018E4">
      <w:pPr>
        <w:autoSpaceDE w:val="0"/>
        <w:autoSpaceDN w:val="0"/>
        <w:adjustRightInd w:val="0"/>
        <w:spacing w:after="0" w:line="240" w:lineRule="auto"/>
        <w:jc w:val="both"/>
        <w:rPr>
          <w:rFonts w:asciiTheme="majorHAnsi" w:hAnsiTheme="majorHAnsi" w:cs="Segoe UI Emoji"/>
          <w:color w:val="000000"/>
          <w:sz w:val="24"/>
          <w:szCs w:val="24"/>
        </w:rPr>
      </w:pPr>
    </w:p>
    <w:p w:rsidR="00D018E4" w:rsidRPr="00A10DC8" w:rsidRDefault="00D018E4" w:rsidP="00D018E4">
      <w:pPr>
        <w:pStyle w:val="Prrafodelista"/>
        <w:numPr>
          <w:ilvl w:val="0"/>
          <w:numId w:val="5"/>
        </w:numPr>
        <w:autoSpaceDE w:val="0"/>
        <w:autoSpaceDN w:val="0"/>
        <w:adjustRightInd w:val="0"/>
        <w:spacing w:after="0" w:line="240" w:lineRule="auto"/>
        <w:jc w:val="both"/>
        <w:rPr>
          <w:rFonts w:asciiTheme="majorHAnsi" w:hAnsiTheme="majorHAnsi" w:cs="Segoe UI Emoji"/>
          <w:color w:val="000000"/>
          <w:sz w:val="24"/>
          <w:szCs w:val="24"/>
        </w:rPr>
      </w:pPr>
      <w:r w:rsidRPr="00A10DC8">
        <w:rPr>
          <w:rFonts w:asciiTheme="majorHAnsi" w:hAnsiTheme="majorHAnsi" w:cs="Segoe UI Emoji"/>
          <w:color w:val="000000"/>
          <w:sz w:val="24"/>
          <w:szCs w:val="24"/>
        </w:rPr>
        <w:t xml:space="preserve">Elevar la calidad del examen de las patentes farmacéuticas y biotecnológicas que se conceden en el país, para que se otorguen sólo a innovaciones médicas que lo merezcan. </w:t>
      </w:r>
    </w:p>
    <w:p w:rsidR="00D018E4" w:rsidRPr="00A10DC8" w:rsidRDefault="00D018E4" w:rsidP="00D018E4">
      <w:pPr>
        <w:pStyle w:val="Prrafodelista"/>
        <w:numPr>
          <w:ilvl w:val="0"/>
          <w:numId w:val="5"/>
        </w:numPr>
        <w:autoSpaceDE w:val="0"/>
        <w:autoSpaceDN w:val="0"/>
        <w:adjustRightInd w:val="0"/>
        <w:spacing w:after="0" w:line="240" w:lineRule="auto"/>
        <w:jc w:val="both"/>
        <w:rPr>
          <w:rFonts w:asciiTheme="majorHAnsi" w:hAnsiTheme="majorHAnsi" w:cs="Segoe UI Emoji"/>
          <w:color w:val="000000"/>
          <w:sz w:val="24"/>
          <w:szCs w:val="24"/>
        </w:rPr>
      </w:pPr>
      <w:r w:rsidRPr="00A10DC8">
        <w:rPr>
          <w:rFonts w:asciiTheme="majorHAnsi" w:hAnsiTheme="majorHAnsi" w:cs="Segoe UI Emoji"/>
          <w:color w:val="000000"/>
          <w:sz w:val="24"/>
          <w:szCs w:val="24"/>
        </w:rPr>
        <w:t xml:space="preserve">Promover la presentación de oposiciones a las patentes farmacéuticas y biotecnológicas que no cumplen los requisitos de </w:t>
      </w:r>
      <w:proofErr w:type="spellStart"/>
      <w:r w:rsidRPr="00A10DC8">
        <w:rPr>
          <w:rFonts w:asciiTheme="majorHAnsi" w:hAnsiTheme="majorHAnsi" w:cs="Segoe UI Emoji"/>
          <w:color w:val="000000"/>
          <w:sz w:val="24"/>
          <w:szCs w:val="24"/>
        </w:rPr>
        <w:t>patentabilidad</w:t>
      </w:r>
      <w:proofErr w:type="spellEnd"/>
      <w:r w:rsidRPr="00A10DC8">
        <w:rPr>
          <w:rFonts w:asciiTheme="majorHAnsi" w:hAnsiTheme="majorHAnsi" w:cs="Segoe UI Emoji"/>
          <w:color w:val="000000"/>
          <w:sz w:val="24"/>
          <w:szCs w:val="24"/>
        </w:rPr>
        <w:t xml:space="preserve">. </w:t>
      </w:r>
    </w:p>
    <w:p w:rsidR="00D018E4" w:rsidRPr="00A10DC8" w:rsidRDefault="00D018E4" w:rsidP="00D018E4">
      <w:pPr>
        <w:pStyle w:val="Prrafodelista"/>
        <w:numPr>
          <w:ilvl w:val="0"/>
          <w:numId w:val="5"/>
        </w:numPr>
        <w:autoSpaceDE w:val="0"/>
        <w:autoSpaceDN w:val="0"/>
        <w:adjustRightInd w:val="0"/>
        <w:spacing w:after="0" w:line="240" w:lineRule="auto"/>
        <w:jc w:val="both"/>
        <w:rPr>
          <w:rFonts w:asciiTheme="majorHAnsi" w:hAnsiTheme="majorHAnsi" w:cs="Segoe UI Emoji"/>
          <w:color w:val="000000"/>
          <w:sz w:val="24"/>
          <w:szCs w:val="24"/>
        </w:rPr>
      </w:pPr>
      <w:r w:rsidRPr="00A10DC8">
        <w:rPr>
          <w:rFonts w:asciiTheme="majorHAnsi" w:hAnsiTheme="majorHAnsi" w:cs="Segoe UI Emoji"/>
          <w:color w:val="000000"/>
          <w:sz w:val="24"/>
          <w:szCs w:val="24"/>
        </w:rPr>
        <w:t xml:space="preserve">Promover modelos de investigación de conocimiento abierto, con premios directos a investigadores e incentivos, no basados únicamente en patentes. </w:t>
      </w:r>
    </w:p>
    <w:p w:rsidR="00D018E4" w:rsidRPr="00A10DC8" w:rsidRDefault="00D018E4" w:rsidP="00D018E4">
      <w:pPr>
        <w:pStyle w:val="Prrafodelista"/>
        <w:numPr>
          <w:ilvl w:val="0"/>
          <w:numId w:val="5"/>
        </w:numPr>
        <w:autoSpaceDE w:val="0"/>
        <w:autoSpaceDN w:val="0"/>
        <w:adjustRightInd w:val="0"/>
        <w:spacing w:after="0" w:line="240" w:lineRule="auto"/>
        <w:jc w:val="both"/>
        <w:rPr>
          <w:rFonts w:asciiTheme="majorHAnsi" w:hAnsiTheme="majorHAnsi" w:cs="Segoe UI Emoji"/>
          <w:color w:val="000000"/>
          <w:sz w:val="24"/>
          <w:szCs w:val="24"/>
        </w:rPr>
      </w:pPr>
      <w:r w:rsidRPr="00A10DC8">
        <w:rPr>
          <w:rFonts w:asciiTheme="majorHAnsi" w:hAnsiTheme="majorHAnsi" w:cs="Segoe UI Emoji"/>
          <w:color w:val="000000"/>
          <w:sz w:val="24"/>
          <w:szCs w:val="24"/>
        </w:rPr>
        <w:t xml:space="preserve">Promover alianzas público/privadas que faciliten la producción nacional y comercialización, a precios referenciados internacionalmente, de los medicamentos estratégicos en salud pública, cuya investigación se financió con recursos públicos. </w:t>
      </w:r>
    </w:p>
    <w:p w:rsidR="00D018E4" w:rsidRPr="00A10DC8" w:rsidRDefault="00D018E4" w:rsidP="00D018E4">
      <w:pPr>
        <w:pStyle w:val="Prrafodelista"/>
        <w:numPr>
          <w:ilvl w:val="0"/>
          <w:numId w:val="5"/>
        </w:numPr>
        <w:autoSpaceDE w:val="0"/>
        <w:autoSpaceDN w:val="0"/>
        <w:adjustRightInd w:val="0"/>
        <w:spacing w:after="0" w:line="240" w:lineRule="auto"/>
        <w:jc w:val="both"/>
        <w:rPr>
          <w:rFonts w:asciiTheme="majorHAnsi" w:hAnsiTheme="majorHAnsi" w:cs="Segoe UI Emoji"/>
          <w:color w:val="000000"/>
          <w:sz w:val="24"/>
          <w:szCs w:val="24"/>
        </w:rPr>
      </w:pPr>
      <w:r w:rsidRPr="00A10DC8">
        <w:rPr>
          <w:rFonts w:asciiTheme="majorHAnsi" w:hAnsiTheme="majorHAnsi" w:cs="Segoe UI Emoji"/>
          <w:color w:val="000000"/>
          <w:sz w:val="24"/>
          <w:szCs w:val="24"/>
        </w:rPr>
        <w:t xml:space="preserve">Diseñar una política de licenciamiento y uso de las patentes de residentes (nacionales), que determine cómo la inversión pública en investigación se refleja posteriormente en precios asequibles, y logre transferir y convertir los resultados de investigación en productos que resuelvan problemas de salud prioritarios. </w:t>
      </w:r>
    </w:p>
    <w:p w:rsidR="00D018E4" w:rsidRPr="00D018E4" w:rsidRDefault="00D018E4" w:rsidP="00D018E4">
      <w:pPr>
        <w:autoSpaceDE w:val="0"/>
        <w:autoSpaceDN w:val="0"/>
        <w:adjustRightInd w:val="0"/>
        <w:spacing w:after="0" w:line="240" w:lineRule="auto"/>
        <w:jc w:val="both"/>
        <w:rPr>
          <w:rFonts w:asciiTheme="majorHAnsi" w:hAnsiTheme="majorHAnsi" w:cs="Segoe UI Emoji"/>
          <w:color w:val="000000"/>
          <w:sz w:val="24"/>
          <w:szCs w:val="24"/>
        </w:rPr>
      </w:pPr>
    </w:p>
    <w:p w:rsidR="00D018E4" w:rsidRPr="00A10DC8" w:rsidRDefault="00D018E4" w:rsidP="00D018E4">
      <w:pPr>
        <w:autoSpaceDE w:val="0"/>
        <w:autoSpaceDN w:val="0"/>
        <w:adjustRightInd w:val="0"/>
        <w:spacing w:after="0" w:line="240" w:lineRule="auto"/>
        <w:jc w:val="both"/>
        <w:rPr>
          <w:rFonts w:asciiTheme="majorHAnsi" w:hAnsiTheme="majorHAnsi" w:cs="Segoe UI Emoji"/>
          <w:color w:val="000000"/>
          <w:sz w:val="24"/>
          <w:szCs w:val="24"/>
        </w:rPr>
      </w:pPr>
      <w:r w:rsidRPr="00D018E4">
        <w:rPr>
          <w:rFonts w:asciiTheme="majorHAnsi" w:hAnsiTheme="majorHAnsi" w:cs="Segoe UI Emoji"/>
          <w:color w:val="000000"/>
          <w:sz w:val="24"/>
          <w:szCs w:val="24"/>
        </w:rPr>
        <w:t xml:space="preserve">Investigación Clínica </w:t>
      </w:r>
    </w:p>
    <w:p w:rsidR="00D018E4" w:rsidRPr="00D018E4" w:rsidRDefault="00D018E4" w:rsidP="00D018E4">
      <w:pPr>
        <w:autoSpaceDE w:val="0"/>
        <w:autoSpaceDN w:val="0"/>
        <w:adjustRightInd w:val="0"/>
        <w:spacing w:after="0" w:line="240" w:lineRule="auto"/>
        <w:jc w:val="both"/>
        <w:rPr>
          <w:rFonts w:asciiTheme="majorHAnsi" w:hAnsiTheme="majorHAnsi" w:cs="Segoe UI Emoji"/>
          <w:color w:val="000000"/>
          <w:sz w:val="24"/>
          <w:szCs w:val="24"/>
        </w:rPr>
      </w:pPr>
    </w:p>
    <w:p w:rsidR="00D018E4" w:rsidRPr="00D018E4" w:rsidRDefault="00D018E4" w:rsidP="00D018E4">
      <w:pPr>
        <w:autoSpaceDE w:val="0"/>
        <w:autoSpaceDN w:val="0"/>
        <w:adjustRightInd w:val="0"/>
        <w:spacing w:after="0" w:line="240" w:lineRule="auto"/>
        <w:jc w:val="both"/>
        <w:rPr>
          <w:rFonts w:asciiTheme="majorHAnsi" w:hAnsiTheme="majorHAnsi" w:cs="Segoe UI Emoji"/>
          <w:color w:val="000000"/>
          <w:sz w:val="24"/>
          <w:szCs w:val="24"/>
        </w:rPr>
      </w:pPr>
      <w:r w:rsidRPr="00D018E4">
        <w:rPr>
          <w:rFonts w:asciiTheme="majorHAnsi" w:hAnsiTheme="majorHAnsi" w:cs="Segoe UI Emoji"/>
          <w:color w:val="000000"/>
          <w:sz w:val="24"/>
          <w:szCs w:val="24"/>
        </w:rPr>
        <w:t xml:space="preserve">3. Establecer una política pública de investigación clínica a partir de una evaluación de los beneficios sociales de la investigación que hoy se realiza en el país, incluyendo las implicaciones éticas y económicas de la misma. Esta política debería considerar elementos como: </w:t>
      </w:r>
    </w:p>
    <w:p w:rsidR="00D018E4" w:rsidRPr="00D018E4" w:rsidRDefault="00D018E4" w:rsidP="00D018E4">
      <w:pPr>
        <w:autoSpaceDE w:val="0"/>
        <w:autoSpaceDN w:val="0"/>
        <w:adjustRightInd w:val="0"/>
        <w:spacing w:after="0" w:line="240" w:lineRule="auto"/>
        <w:jc w:val="both"/>
        <w:rPr>
          <w:rFonts w:asciiTheme="majorHAnsi" w:hAnsiTheme="majorHAnsi" w:cs="Segoe UI Emoji"/>
          <w:color w:val="000000"/>
          <w:sz w:val="24"/>
          <w:szCs w:val="24"/>
        </w:rPr>
      </w:pPr>
    </w:p>
    <w:p w:rsidR="00D018E4" w:rsidRPr="00A10DC8" w:rsidRDefault="00D018E4" w:rsidP="00D018E4">
      <w:pPr>
        <w:pStyle w:val="Prrafodelista"/>
        <w:numPr>
          <w:ilvl w:val="0"/>
          <w:numId w:val="7"/>
        </w:numPr>
        <w:autoSpaceDE w:val="0"/>
        <w:autoSpaceDN w:val="0"/>
        <w:adjustRightInd w:val="0"/>
        <w:spacing w:after="0" w:line="240" w:lineRule="auto"/>
        <w:jc w:val="both"/>
        <w:rPr>
          <w:rFonts w:asciiTheme="majorHAnsi" w:hAnsiTheme="majorHAnsi" w:cs="Segoe UI Emoji"/>
          <w:color w:val="000000"/>
          <w:sz w:val="24"/>
          <w:szCs w:val="24"/>
        </w:rPr>
      </w:pPr>
      <w:r w:rsidRPr="00A10DC8">
        <w:rPr>
          <w:rFonts w:asciiTheme="majorHAnsi" w:hAnsiTheme="majorHAnsi" w:cs="Segoe UI Emoji"/>
          <w:color w:val="000000"/>
          <w:sz w:val="24"/>
          <w:szCs w:val="24"/>
        </w:rPr>
        <w:t xml:space="preserve">Establecer precios más bajos de los medicamentos, cuando pacientes colombianos hayan participado en los estudios clínicos. </w:t>
      </w:r>
    </w:p>
    <w:p w:rsidR="00D018E4" w:rsidRDefault="00D018E4" w:rsidP="00D018E4">
      <w:pPr>
        <w:pStyle w:val="Prrafodelista"/>
        <w:numPr>
          <w:ilvl w:val="0"/>
          <w:numId w:val="7"/>
        </w:numPr>
        <w:autoSpaceDE w:val="0"/>
        <w:autoSpaceDN w:val="0"/>
        <w:adjustRightInd w:val="0"/>
        <w:spacing w:after="0" w:line="240" w:lineRule="auto"/>
        <w:jc w:val="both"/>
        <w:rPr>
          <w:rFonts w:asciiTheme="majorHAnsi" w:hAnsiTheme="majorHAnsi" w:cs="Segoe UI Emoji"/>
          <w:color w:val="000000"/>
          <w:sz w:val="24"/>
          <w:szCs w:val="24"/>
        </w:rPr>
      </w:pPr>
      <w:r w:rsidRPr="00A10DC8">
        <w:rPr>
          <w:rFonts w:asciiTheme="majorHAnsi" w:hAnsiTheme="majorHAnsi" w:cs="Segoe UI Emoji"/>
          <w:color w:val="000000"/>
          <w:sz w:val="24"/>
          <w:szCs w:val="24"/>
        </w:rPr>
        <w:t xml:space="preserve">Establecer en el INVIMA una plataforma abierta de los datos de la investigación clínica que se realice en el país, para facilitar el monitoreo de los protocolos en marcha, la identificación temprana de eventos adversos y para orientar la agenda de investigación biomédica del país. </w:t>
      </w:r>
    </w:p>
    <w:p w:rsidR="00423CE3" w:rsidRDefault="007A5739" w:rsidP="00423CE3">
      <w:pPr>
        <w:autoSpaceDE w:val="0"/>
        <w:autoSpaceDN w:val="0"/>
        <w:adjustRightInd w:val="0"/>
        <w:spacing w:after="0" w:line="240" w:lineRule="auto"/>
        <w:jc w:val="both"/>
        <w:rPr>
          <w:rFonts w:asciiTheme="majorHAnsi" w:hAnsiTheme="majorHAnsi" w:cs="Segoe UI Emoji"/>
          <w:color w:val="000000"/>
          <w:sz w:val="24"/>
          <w:szCs w:val="24"/>
          <w:lang w:val="es-ES_tradnl"/>
        </w:rPr>
      </w:pPr>
      <w:r>
        <w:rPr>
          <w:rFonts w:asciiTheme="majorHAnsi" w:hAnsiTheme="majorHAnsi" w:cs="Segoe UI Emoji"/>
          <w:color w:val="000000"/>
          <w:sz w:val="24"/>
          <w:szCs w:val="24"/>
          <w:lang w:val="es-ES_tradnl"/>
        </w:rPr>
        <w:t xml:space="preserve"> </w:t>
      </w:r>
    </w:p>
    <w:p w:rsidR="004A3B36" w:rsidRPr="009911FE" w:rsidRDefault="004A3B36" w:rsidP="00423CE3">
      <w:pPr>
        <w:autoSpaceDE w:val="0"/>
        <w:autoSpaceDN w:val="0"/>
        <w:adjustRightInd w:val="0"/>
        <w:spacing w:after="0" w:line="240" w:lineRule="auto"/>
        <w:jc w:val="both"/>
        <w:rPr>
          <w:rFonts w:asciiTheme="majorHAnsi" w:hAnsiTheme="majorHAnsi" w:cs="Segoe UI Emoji"/>
          <w:color w:val="000000"/>
          <w:sz w:val="24"/>
          <w:szCs w:val="24"/>
          <w:lang w:val="es-ES_tradnl"/>
        </w:rPr>
      </w:pPr>
    </w:p>
    <w:p w:rsidR="006B0F79" w:rsidRDefault="004A3B36" w:rsidP="006B0F79">
      <w:pPr>
        <w:spacing w:after="120" w:line="240" w:lineRule="auto"/>
        <w:jc w:val="both"/>
        <w:rPr>
          <w:rFonts w:asciiTheme="majorHAnsi" w:hAnsiTheme="majorHAnsi"/>
          <w:sz w:val="24"/>
          <w:szCs w:val="24"/>
        </w:rPr>
      </w:pPr>
      <w:r>
        <w:rPr>
          <w:rFonts w:asciiTheme="majorHAnsi" w:hAnsiTheme="majorHAnsi"/>
          <w:sz w:val="24"/>
          <w:szCs w:val="24"/>
        </w:rPr>
        <w:lastRenderedPageBreak/>
        <w:t xml:space="preserve">Por las anteriores consideraciones, ponemos a disposición del Congreso de la República la presente iniciativa legislativa. </w:t>
      </w:r>
    </w:p>
    <w:p w:rsidR="004A3B36" w:rsidRDefault="004A3B36" w:rsidP="006B0F79">
      <w:pPr>
        <w:spacing w:after="120" w:line="240" w:lineRule="auto"/>
        <w:jc w:val="both"/>
        <w:rPr>
          <w:rFonts w:asciiTheme="majorHAnsi" w:hAnsiTheme="majorHAnsi"/>
          <w:sz w:val="24"/>
          <w:szCs w:val="24"/>
        </w:rPr>
      </w:pPr>
    </w:p>
    <w:p w:rsidR="004A3B36" w:rsidRDefault="004A3B36" w:rsidP="006B0F79">
      <w:pPr>
        <w:spacing w:after="120" w:line="240" w:lineRule="auto"/>
        <w:jc w:val="both"/>
        <w:rPr>
          <w:rFonts w:asciiTheme="majorHAnsi" w:hAnsiTheme="majorHAnsi"/>
          <w:sz w:val="24"/>
          <w:szCs w:val="24"/>
        </w:rPr>
      </w:pPr>
    </w:p>
    <w:p w:rsidR="004A3B36" w:rsidRDefault="004A3B36" w:rsidP="006B0F79">
      <w:pPr>
        <w:spacing w:after="120" w:line="240" w:lineRule="auto"/>
        <w:jc w:val="both"/>
        <w:rPr>
          <w:rFonts w:asciiTheme="majorHAnsi" w:hAnsiTheme="majorHAnsi"/>
          <w:sz w:val="24"/>
          <w:szCs w:val="24"/>
        </w:rPr>
      </w:pPr>
    </w:p>
    <w:p w:rsidR="004A3B36" w:rsidRPr="004A3B36" w:rsidRDefault="004A3B36" w:rsidP="006B0F79">
      <w:pPr>
        <w:spacing w:after="120" w:line="240" w:lineRule="auto"/>
        <w:jc w:val="both"/>
        <w:rPr>
          <w:rFonts w:asciiTheme="majorHAnsi" w:hAnsiTheme="majorHAnsi"/>
          <w:b/>
          <w:sz w:val="24"/>
          <w:szCs w:val="24"/>
        </w:rPr>
      </w:pPr>
      <w:r w:rsidRPr="004A3B36">
        <w:rPr>
          <w:rFonts w:asciiTheme="majorHAnsi" w:hAnsiTheme="majorHAnsi"/>
          <w:b/>
          <w:sz w:val="24"/>
          <w:szCs w:val="24"/>
        </w:rPr>
        <w:t>RICHARD AGUILAR VILLA</w:t>
      </w:r>
      <w:r w:rsidRPr="004A3B36">
        <w:rPr>
          <w:rFonts w:asciiTheme="majorHAnsi" w:hAnsiTheme="majorHAnsi"/>
          <w:b/>
          <w:sz w:val="24"/>
          <w:szCs w:val="24"/>
        </w:rPr>
        <w:tab/>
      </w:r>
      <w:r w:rsidRPr="004A3B36">
        <w:rPr>
          <w:rFonts w:asciiTheme="majorHAnsi" w:hAnsiTheme="majorHAnsi"/>
          <w:b/>
          <w:sz w:val="24"/>
          <w:szCs w:val="24"/>
        </w:rPr>
        <w:tab/>
      </w:r>
      <w:r w:rsidRPr="004A3B36">
        <w:rPr>
          <w:rFonts w:asciiTheme="majorHAnsi" w:hAnsiTheme="majorHAnsi"/>
          <w:b/>
          <w:sz w:val="24"/>
          <w:szCs w:val="24"/>
        </w:rPr>
        <w:tab/>
      </w:r>
      <w:r w:rsidRPr="004A3B36">
        <w:rPr>
          <w:rFonts w:asciiTheme="majorHAnsi" w:hAnsiTheme="majorHAnsi"/>
          <w:b/>
          <w:sz w:val="24"/>
          <w:szCs w:val="24"/>
        </w:rPr>
        <w:tab/>
        <w:t xml:space="preserve">RODRIGO LARA RESTREPO </w:t>
      </w:r>
    </w:p>
    <w:p w:rsidR="004A3B36" w:rsidRDefault="004A3B36" w:rsidP="006B0F79">
      <w:pPr>
        <w:spacing w:after="120" w:line="240" w:lineRule="auto"/>
        <w:jc w:val="both"/>
        <w:rPr>
          <w:rFonts w:asciiTheme="majorHAnsi" w:hAnsiTheme="majorHAnsi"/>
          <w:b/>
          <w:sz w:val="24"/>
          <w:szCs w:val="24"/>
        </w:rPr>
      </w:pPr>
      <w:r w:rsidRPr="004A3B36">
        <w:rPr>
          <w:rFonts w:asciiTheme="majorHAnsi" w:hAnsiTheme="majorHAnsi"/>
          <w:b/>
          <w:sz w:val="24"/>
          <w:szCs w:val="24"/>
        </w:rPr>
        <w:t xml:space="preserve">Senador de la República </w:t>
      </w:r>
      <w:r w:rsidRPr="004A3B36">
        <w:rPr>
          <w:rFonts w:asciiTheme="majorHAnsi" w:hAnsiTheme="majorHAnsi"/>
          <w:b/>
          <w:sz w:val="24"/>
          <w:szCs w:val="24"/>
        </w:rPr>
        <w:tab/>
      </w:r>
      <w:r w:rsidRPr="004A3B36">
        <w:rPr>
          <w:rFonts w:asciiTheme="majorHAnsi" w:hAnsiTheme="majorHAnsi"/>
          <w:b/>
          <w:sz w:val="24"/>
          <w:szCs w:val="24"/>
        </w:rPr>
        <w:tab/>
      </w:r>
      <w:r w:rsidRPr="004A3B36">
        <w:rPr>
          <w:rFonts w:asciiTheme="majorHAnsi" w:hAnsiTheme="majorHAnsi"/>
          <w:b/>
          <w:sz w:val="24"/>
          <w:szCs w:val="24"/>
        </w:rPr>
        <w:tab/>
      </w:r>
      <w:r w:rsidRPr="004A3B36">
        <w:rPr>
          <w:rFonts w:asciiTheme="majorHAnsi" w:hAnsiTheme="majorHAnsi"/>
          <w:b/>
          <w:sz w:val="24"/>
          <w:szCs w:val="24"/>
        </w:rPr>
        <w:tab/>
        <w:t>Senador de la República</w:t>
      </w:r>
    </w:p>
    <w:p w:rsidR="002C45B1" w:rsidRDefault="002C45B1" w:rsidP="006B0F79">
      <w:pPr>
        <w:spacing w:after="120" w:line="240" w:lineRule="auto"/>
        <w:jc w:val="both"/>
        <w:rPr>
          <w:rFonts w:asciiTheme="majorHAnsi" w:hAnsiTheme="majorHAnsi"/>
          <w:b/>
          <w:sz w:val="24"/>
          <w:szCs w:val="24"/>
        </w:rPr>
      </w:pPr>
    </w:p>
    <w:p w:rsidR="002C45B1" w:rsidRDefault="002C45B1" w:rsidP="006B0F79">
      <w:pPr>
        <w:spacing w:after="120" w:line="240" w:lineRule="auto"/>
        <w:jc w:val="both"/>
        <w:rPr>
          <w:rFonts w:asciiTheme="majorHAnsi" w:hAnsiTheme="majorHAnsi"/>
          <w:b/>
          <w:sz w:val="24"/>
          <w:szCs w:val="24"/>
        </w:rPr>
      </w:pPr>
    </w:p>
    <w:p w:rsidR="002C45B1" w:rsidRDefault="002C45B1" w:rsidP="006B0F79">
      <w:pPr>
        <w:spacing w:after="120" w:line="240" w:lineRule="auto"/>
        <w:jc w:val="both"/>
        <w:rPr>
          <w:rFonts w:asciiTheme="majorHAnsi" w:hAnsiTheme="majorHAnsi"/>
          <w:b/>
          <w:sz w:val="24"/>
          <w:szCs w:val="24"/>
        </w:rPr>
      </w:pPr>
    </w:p>
    <w:p w:rsidR="002C45B1" w:rsidRDefault="002C45B1" w:rsidP="002C45B1">
      <w:pPr>
        <w:spacing w:after="120" w:line="240" w:lineRule="auto"/>
        <w:jc w:val="center"/>
        <w:rPr>
          <w:rFonts w:asciiTheme="majorHAnsi" w:hAnsiTheme="majorHAnsi"/>
          <w:b/>
          <w:sz w:val="24"/>
          <w:szCs w:val="24"/>
        </w:rPr>
      </w:pPr>
      <w:r>
        <w:rPr>
          <w:rFonts w:asciiTheme="majorHAnsi" w:hAnsiTheme="majorHAnsi"/>
          <w:b/>
          <w:sz w:val="24"/>
          <w:szCs w:val="24"/>
        </w:rPr>
        <w:t>ANA MARIA CASTAÑEDA GOMEZ</w:t>
      </w:r>
    </w:p>
    <w:p w:rsidR="002C45B1" w:rsidRPr="004A3B36" w:rsidRDefault="002C45B1" w:rsidP="002C45B1">
      <w:pPr>
        <w:spacing w:after="120" w:line="240" w:lineRule="auto"/>
        <w:jc w:val="center"/>
        <w:rPr>
          <w:rFonts w:asciiTheme="majorHAnsi" w:hAnsiTheme="majorHAnsi"/>
          <w:b/>
          <w:sz w:val="24"/>
          <w:szCs w:val="24"/>
        </w:rPr>
      </w:pPr>
      <w:r>
        <w:rPr>
          <w:rFonts w:asciiTheme="majorHAnsi" w:hAnsiTheme="majorHAnsi"/>
          <w:b/>
          <w:sz w:val="24"/>
          <w:szCs w:val="24"/>
        </w:rPr>
        <w:t>Senadora de la República</w:t>
      </w:r>
    </w:p>
    <w:sectPr w:rsidR="002C45B1" w:rsidRPr="004A3B36" w:rsidSect="00D242AA">
      <w:headerReference w:type="default" r:id="rId10"/>
      <w:footerReference w:type="default" r:id="rId11"/>
      <w:pgSz w:w="12240" w:h="15840"/>
      <w:pgMar w:top="2552"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079E" w:rsidRDefault="00B9079E" w:rsidP="00FB0F43">
      <w:pPr>
        <w:spacing w:after="0" w:line="240" w:lineRule="auto"/>
      </w:pPr>
      <w:r>
        <w:separator/>
      </w:r>
    </w:p>
  </w:endnote>
  <w:endnote w:type="continuationSeparator" w:id="0">
    <w:p w:rsidR="00B9079E" w:rsidRDefault="00B9079E" w:rsidP="00FB0F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egoe UI Emoji">
    <w:altName w:val="Segoe UI Emoj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2AA" w:rsidRDefault="00D242AA" w:rsidP="00D242AA">
    <w:pPr>
      <w:pStyle w:val="Piedepgina"/>
      <w:jc w:val="center"/>
    </w:pPr>
    <w:r>
      <w:rPr>
        <w:noProof/>
        <w:lang w:eastAsia="es-CO"/>
      </w:rPr>
      <w:drawing>
        <wp:inline distT="0" distB="0" distL="0" distR="0" wp14:anchorId="22C83568" wp14:editId="75B59066">
          <wp:extent cx="3112770" cy="262890"/>
          <wp:effectExtent l="1905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srcRect/>
                  <a:stretch>
                    <a:fillRect/>
                  </a:stretch>
                </pic:blipFill>
                <pic:spPr bwMode="auto">
                  <a:xfrm>
                    <a:off x="0" y="0"/>
                    <a:ext cx="3112770" cy="26289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079E" w:rsidRDefault="00B9079E" w:rsidP="00FB0F43">
      <w:pPr>
        <w:spacing w:after="0" w:line="240" w:lineRule="auto"/>
      </w:pPr>
      <w:r>
        <w:separator/>
      </w:r>
    </w:p>
  </w:footnote>
  <w:footnote w:type="continuationSeparator" w:id="0">
    <w:p w:rsidR="00B9079E" w:rsidRDefault="00B9079E" w:rsidP="00FB0F43">
      <w:pPr>
        <w:spacing w:after="0" w:line="240" w:lineRule="auto"/>
      </w:pPr>
      <w:r>
        <w:continuationSeparator/>
      </w:r>
    </w:p>
  </w:footnote>
  <w:footnote w:id="1">
    <w:p w:rsidR="00FB0F43" w:rsidRDefault="00FB0F43">
      <w:pPr>
        <w:pStyle w:val="Textonotapie"/>
      </w:pPr>
      <w:r>
        <w:rPr>
          <w:rStyle w:val="Refdenotaalpie"/>
        </w:rPr>
        <w:footnoteRef/>
      </w:r>
      <w:r>
        <w:t xml:space="preserve"> </w:t>
      </w:r>
      <w:r>
        <w:rPr>
          <w:sz w:val="12"/>
          <w:szCs w:val="12"/>
        </w:rPr>
        <w:t xml:space="preserve">Este documento es producto del desarrollo de cuatro memorandos de campaña preparados por el Centro de Pensamiento con propuestas a los candidatos presidenciales. Participaron en la elaboración Claudia Vaca (Profesora de Farmacia, Universidad Nacional de Colombia), Óscar </w:t>
      </w:r>
      <w:proofErr w:type="spellStart"/>
      <w:r>
        <w:rPr>
          <w:sz w:val="12"/>
          <w:szCs w:val="12"/>
        </w:rPr>
        <w:t>Lizarazo</w:t>
      </w:r>
      <w:proofErr w:type="spellEnd"/>
      <w:r>
        <w:rPr>
          <w:sz w:val="12"/>
          <w:szCs w:val="12"/>
        </w:rPr>
        <w:t xml:space="preserve"> (Profesor de Derecho, Universidad Nacional de Colombia), Rodrigo Moreira (economista, consultor independiente), Tatiana Orjuela (Farmacéutica, consultora independiente), Sandra Moreno (Farmacéutica, consultora independiente) y Tatiana </w:t>
      </w:r>
      <w:proofErr w:type="spellStart"/>
      <w:r>
        <w:rPr>
          <w:sz w:val="12"/>
          <w:szCs w:val="12"/>
        </w:rPr>
        <w:t>Andia</w:t>
      </w:r>
      <w:proofErr w:type="spellEnd"/>
      <w:r>
        <w:rPr>
          <w:sz w:val="12"/>
          <w:szCs w:val="12"/>
        </w:rPr>
        <w:t xml:space="preserve"> (Profesora de Sociología, Universidad de los Andes, directora proyecto Salud Visible). Se realizaron consultas a otros expertos y líderes del sector para evaluar la factibilidad y pertinencia de las propuestas</w:t>
      </w:r>
    </w:p>
  </w:footnote>
  <w:footnote w:id="2">
    <w:p w:rsidR="00FB0F43" w:rsidRDefault="00FB0F43" w:rsidP="00FB0F43">
      <w:pPr>
        <w:pStyle w:val="Default"/>
      </w:pPr>
      <w:r>
        <w:rPr>
          <w:rStyle w:val="Refdenotaalpie"/>
        </w:rPr>
        <w:footnoteRef/>
      </w:r>
      <w:r>
        <w:t xml:space="preserve"> </w:t>
      </w:r>
      <w:r>
        <w:rPr>
          <w:sz w:val="12"/>
          <w:szCs w:val="12"/>
        </w:rPr>
        <w:t xml:space="preserve">Consejo Nacional de Política Económica y Social República de Colombia Departamento Nacional de Planeación, 2012. Disponible en https://www.minsalud.gov.co/Documentos%20y%20Publicaciones/Politica%20Farmac%C3%A9utica%20Nacional.pdf. Consulta 23/03/2018. </w:t>
      </w:r>
    </w:p>
    <w:p w:rsidR="00FB0F43" w:rsidRDefault="00FB0F43">
      <w:pPr>
        <w:pStyle w:val="Textonotapie"/>
      </w:pPr>
    </w:p>
  </w:footnote>
  <w:footnote w:id="3">
    <w:p w:rsidR="00FB0F43" w:rsidRDefault="00FB0F43">
      <w:pPr>
        <w:pStyle w:val="Textonotapie"/>
      </w:pPr>
      <w:r>
        <w:rPr>
          <w:rStyle w:val="Refdenotaalpie"/>
        </w:rPr>
        <w:footnoteRef/>
      </w:r>
      <w:r>
        <w:rPr>
          <w:sz w:val="12"/>
          <w:szCs w:val="12"/>
        </w:rPr>
        <w:t>Sistema de información de precios de medicamentos –SISMED- 2017</w:t>
      </w:r>
    </w:p>
  </w:footnote>
  <w:footnote w:id="4">
    <w:p w:rsidR="00250428" w:rsidRPr="00250428" w:rsidRDefault="00250428" w:rsidP="00250428">
      <w:pPr>
        <w:pStyle w:val="Textonotapie"/>
        <w:rPr>
          <w:sz w:val="12"/>
          <w:szCs w:val="12"/>
        </w:rPr>
      </w:pPr>
      <w:r w:rsidRPr="00250428">
        <w:rPr>
          <w:rStyle w:val="Refdenotaalpie"/>
          <w:sz w:val="12"/>
          <w:szCs w:val="12"/>
        </w:rPr>
        <w:footnoteRef/>
      </w:r>
      <w:r w:rsidRPr="00250428">
        <w:rPr>
          <w:sz w:val="12"/>
          <w:szCs w:val="12"/>
        </w:rPr>
        <w:t xml:space="preserve"> Administradora de los recursos del Sistema de Seguridad Social en Salud –ADRES- Disponible en https://www.amazon.com/clouddrive/share/VLFntqlRcQsDwjIJisW8BItn1P65Vxlgcy9LB1an6Y6/vkuTMfgHSCiEK02SOyJLvg?_encoding=UTF8&amp;*Version*=1&amp;*entries*=0&amp;mgh=1 consulta 04/04/2018</w:t>
      </w:r>
    </w:p>
  </w:footnote>
  <w:footnote w:id="5">
    <w:p w:rsidR="00250428" w:rsidRPr="00250428" w:rsidRDefault="00250428" w:rsidP="00250428">
      <w:pPr>
        <w:pStyle w:val="Textonotapie"/>
        <w:rPr>
          <w:sz w:val="12"/>
          <w:szCs w:val="12"/>
        </w:rPr>
      </w:pPr>
      <w:r w:rsidRPr="00250428">
        <w:rPr>
          <w:rStyle w:val="Refdenotaalpie"/>
          <w:sz w:val="12"/>
          <w:szCs w:val="12"/>
        </w:rPr>
        <w:footnoteRef/>
      </w:r>
      <w:r w:rsidRPr="00250428">
        <w:rPr>
          <w:sz w:val="12"/>
          <w:szCs w:val="12"/>
        </w:rPr>
        <w:t xml:space="preserve"> Fuente: ADRES.</w:t>
      </w:r>
    </w:p>
  </w:footnote>
  <w:footnote w:id="6">
    <w:p w:rsidR="00250428" w:rsidRPr="00250428" w:rsidRDefault="00250428" w:rsidP="00250428">
      <w:pPr>
        <w:pStyle w:val="Default"/>
        <w:jc w:val="both"/>
        <w:rPr>
          <w:sz w:val="12"/>
          <w:szCs w:val="12"/>
        </w:rPr>
      </w:pPr>
      <w:r w:rsidRPr="00250428">
        <w:rPr>
          <w:rStyle w:val="Refdenotaalpie"/>
          <w:sz w:val="12"/>
          <w:szCs w:val="12"/>
        </w:rPr>
        <w:footnoteRef/>
      </w:r>
      <w:r w:rsidRPr="00250428">
        <w:rPr>
          <w:sz w:val="12"/>
          <w:szCs w:val="12"/>
        </w:rPr>
        <w:t xml:space="preserve"> Prada SI, Soto VE, </w:t>
      </w:r>
      <w:proofErr w:type="spellStart"/>
      <w:r w:rsidRPr="00250428">
        <w:rPr>
          <w:sz w:val="12"/>
          <w:szCs w:val="12"/>
        </w:rPr>
        <w:t>Andia</w:t>
      </w:r>
      <w:proofErr w:type="spellEnd"/>
      <w:r w:rsidRPr="00250428">
        <w:rPr>
          <w:sz w:val="12"/>
          <w:szCs w:val="12"/>
        </w:rPr>
        <w:t xml:space="preserve"> TS, Vaca CP, Morales AA, </w:t>
      </w:r>
      <w:proofErr w:type="spellStart"/>
      <w:r w:rsidRPr="00250428">
        <w:rPr>
          <w:sz w:val="12"/>
          <w:szCs w:val="12"/>
        </w:rPr>
        <w:t>Marquez</w:t>
      </w:r>
      <w:proofErr w:type="spellEnd"/>
      <w:r w:rsidRPr="00250428">
        <w:rPr>
          <w:sz w:val="12"/>
          <w:szCs w:val="12"/>
        </w:rPr>
        <w:t xml:space="preserve"> SR, Gaviria A. Prada et al. </w:t>
      </w:r>
      <w:r w:rsidRPr="00250428">
        <w:rPr>
          <w:sz w:val="12"/>
          <w:szCs w:val="12"/>
          <w:lang w:val="en-US"/>
        </w:rPr>
        <w:t xml:space="preserve">Higher pharmaceutical public expenditure after direct price control: improved access or induced demand? </w:t>
      </w:r>
      <w:proofErr w:type="spellStart"/>
      <w:r w:rsidRPr="00250428">
        <w:rPr>
          <w:sz w:val="12"/>
          <w:szCs w:val="12"/>
        </w:rPr>
        <w:t>The</w:t>
      </w:r>
      <w:proofErr w:type="spellEnd"/>
      <w:r w:rsidRPr="00250428">
        <w:rPr>
          <w:sz w:val="12"/>
          <w:szCs w:val="12"/>
        </w:rPr>
        <w:t xml:space="preserve"> </w:t>
      </w:r>
      <w:proofErr w:type="spellStart"/>
      <w:r w:rsidRPr="00250428">
        <w:rPr>
          <w:sz w:val="12"/>
          <w:szCs w:val="12"/>
        </w:rPr>
        <w:t>Colombian</w:t>
      </w:r>
      <w:proofErr w:type="spellEnd"/>
      <w:r w:rsidRPr="00250428">
        <w:rPr>
          <w:sz w:val="12"/>
          <w:szCs w:val="12"/>
        </w:rPr>
        <w:t xml:space="preserve"> case. </w:t>
      </w:r>
      <w:proofErr w:type="spellStart"/>
      <w:r w:rsidRPr="00250428">
        <w:rPr>
          <w:sz w:val="12"/>
          <w:szCs w:val="12"/>
        </w:rPr>
        <w:t>Cost</w:t>
      </w:r>
      <w:proofErr w:type="spellEnd"/>
      <w:r w:rsidRPr="00250428">
        <w:rPr>
          <w:sz w:val="12"/>
          <w:szCs w:val="12"/>
        </w:rPr>
        <w:t xml:space="preserve"> </w:t>
      </w:r>
      <w:proofErr w:type="spellStart"/>
      <w:r w:rsidRPr="00250428">
        <w:rPr>
          <w:sz w:val="12"/>
          <w:szCs w:val="12"/>
        </w:rPr>
        <w:t>Eff</w:t>
      </w:r>
      <w:proofErr w:type="spellEnd"/>
      <w:r w:rsidRPr="00250428">
        <w:rPr>
          <w:sz w:val="12"/>
          <w:szCs w:val="12"/>
        </w:rPr>
        <w:t xml:space="preserve"> </w:t>
      </w:r>
      <w:proofErr w:type="spellStart"/>
      <w:r w:rsidRPr="00250428">
        <w:rPr>
          <w:sz w:val="12"/>
          <w:szCs w:val="12"/>
        </w:rPr>
        <w:t>Resour</w:t>
      </w:r>
      <w:proofErr w:type="spellEnd"/>
      <w:r w:rsidRPr="00250428">
        <w:rPr>
          <w:sz w:val="12"/>
          <w:szCs w:val="12"/>
        </w:rPr>
        <w:t xml:space="preserve"> </w:t>
      </w:r>
      <w:proofErr w:type="spellStart"/>
      <w:r w:rsidRPr="00250428">
        <w:rPr>
          <w:sz w:val="12"/>
          <w:szCs w:val="12"/>
        </w:rPr>
        <w:t>Alloc</w:t>
      </w:r>
      <w:proofErr w:type="spellEnd"/>
      <w:r w:rsidRPr="00250428">
        <w:rPr>
          <w:sz w:val="12"/>
          <w:szCs w:val="12"/>
        </w:rPr>
        <w:t xml:space="preserve"> (2018) 16:8. </w:t>
      </w:r>
    </w:p>
  </w:footnote>
  <w:footnote w:id="7">
    <w:p w:rsidR="00250428" w:rsidRPr="00250428" w:rsidRDefault="00250428" w:rsidP="00250428">
      <w:pPr>
        <w:pStyle w:val="Textonotapie"/>
        <w:rPr>
          <w:sz w:val="12"/>
          <w:szCs w:val="12"/>
        </w:rPr>
      </w:pPr>
      <w:r w:rsidRPr="00250428">
        <w:rPr>
          <w:rStyle w:val="Refdenotaalpie"/>
          <w:sz w:val="12"/>
          <w:szCs w:val="12"/>
        </w:rPr>
        <w:footnoteRef/>
      </w:r>
      <w:r w:rsidRPr="00250428">
        <w:rPr>
          <w:sz w:val="12"/>
          <w:szCs w:val="12"/>
        </w:rPr>
        <w:t xml:space="preserve"> Congreso de la República, Ley 1753 de 2015 Plan Nacional de Desarrollo 20142018 “Todos por un nuevo país”, artículo 72.</w:t>
      </w:r>
    </w:p>
  </w:footnote>
  <w:footnote w:id="8">
    <w:p w:rsidR="00250428" w:rsidRPr="00250428" w:rsidRDefault="00250428" w:rsidP="00250428">
      <w:pPr>
        <w:pStyle w:val="Textonotapie"/>
        <w:rPr>
          <w:sz w:val="12"/>
          <w:szCs w:val="12"/>
        </w:rPr>
      </w:pPr>
      <w:r w:rsidRPr="00250428">
        <w:rPr>
          <w:rStyle w:val="Refdenotaalpie"/>
          <w:sz w:val="12"/>
          <w:szCs w:val="12"/>
        </w:rPr>
        <w:footnoteRef/>
      </w:r>
      <w:r w:rsidRPr="00250428">
        <w:rPr>
          <w:sz w:val="12"/>
          <w:szCs w:val="12"/>
        </w:rPr>
        <w:t xml:space="preserve"> Sentencia C-620/16 Disponible en </w:t>
      </w:r>
      <w:hyperlink r:id="rId1" w:history="1">
        <w:r w:rsidRPr="00250428">
          <w:rPr>
            <w:rStyle w:val="Hipervnculo"/>
            <w:sz w:val="12"/>
            <w:szCs w:val="12"/>
          </w:rPr>
          <w:t>http://www.corteconstitucional.gov.co/relatoria/2016/C-620-16.htm. Consulta 30/03/2018</w:t>
        </w:r>
      </w:hyperlink>
    </w:p>
    <w:p w:rsidR="00250428" w:rsidRPr="00250428" w:rsidRDefault="00250428" w:rsidP="00250428">
      <w:pPr>
        <w:pStyle w:val="Default"/>
        <w:jc w:val="both"/>
        <w:rPr>
          <w:sz w:val="12"/>
          <w:szCs w:val="12"/>
        </w:rPr>
      </w:pPr>
      <w:r w:rsidRPr="00250428">
        <w:rPr>
          <w:sz w:val="12"/>
          <w:szCs w:val="12"/>
        </w:rPr>
        <w:t xml:space="preserve">Ver noticias relacionadas: Corte Constitucional dejó en firme control de precios a medicamentos, disponible en: </w:t>
      </w:r>
    </w:p>
    <w:p w:rsidR="00250428" w:rsidRPr="00394484" w:rsidRDefault="00250428" w:rsidP="00250428">
      <w:pPr>
        <w:pStyle w:val="Default"/>
        <w:jc w:val="both"/>
        <w:rPr>
          <w:sz w:val="12"/>
          <w:szCs w:val="12"/>
          <w:lang w:val="en-US"/>
        </w:rPr>
      </w:pPr>
      <w:r w:rsidRPr="00250428">
        <w:rPr>
          <w:sz w:val="12"/>
          <w:szCs w:val="12"/>
        </w:rPr>
        <w:t xml:space="preserve">https://www.elespectador.com/noticias/judicial/corte-constitucional-dejo-firme-control-de-precios-medi-articulo-664847. </w:t>
      </w:r>
      <w:proofErr w:type="spellStart"/>
      <w:r w:rsidRPr="00394484">
        <w:rPr>
          <w:sz w:val="12"/>
          <w:szCs w:val="12"/>
          <w:lang w:val="en-US"/>
        </w:rPr>
        <w:t>Consulta</w:t>
      </w:r>
      <w:proofErr w:type="spellEnd"/>
      <w:r w:rsidRPr="00394484">
        <w:rPr>
          <w:sz w:val="12"/>
          <w:szCs w:val="12"/>
          <w:lang w:val="en-US"/>
        </w:rPr>
        <w:t xml:space="preserve"> 30/03/2018. </w:t>
      </w:r>
    </w:p>
    <w:p w:rsidR="00250428" w:rsidRPr="00394484" w:rsidRDefault="00250428">
      <w:pPr>
        <w:pStyle w:val="Textonotapie"/>
        <w:rPr>
          <w:lang w:val="en-US"/>
        </w:rPr>
      </w:pPr>
    </w:p>
  </w:footnote>
  <w:footnote w:id="9">
    <w:p w:rsidR="00250428" w:rsidRPr="00394484" w:rsidRDefault="00250428" w:rsidP="00250428">
      <w:pPr>
        <w:pStyle w:val="Textonotapie"/>
        <w:rPr>
          <w:sz w:val="12"/>
          <w:szCs w:val="12"/>
          <w:lang w:val="en-US"/>
        </w:rPr>
      </w:pPr>
      <w:r w:rsidRPr="00250428">
        <w:rPr>
          <w:rStyle w:val="Refdenotaalpie"/>
          <w:sz w:val="12"/>
          <w:szCs w:val="12"/>
        </w:rPr>
        <w:footnoteRef/>
      </w:r>
      <w:r w:rsidRPr="00394484">
        <w:rPr>
          <w:sz w:val="12"/>
          <w:szCs w:val="12"/>
          <w:lang w:val="en-US"/>
        </w:rPr>
        <w:t xml:space="preserve"> </w:t>
      </w:r>
      <w:proofErr w:type="gramStart"/>
      <w:r w:rsidRPr="00250428">
        <w:rPr>
          <w:sz w:val="12"/>
          <w:szCs w:val="12"/>
          <w:lang w:val="en-US"/>
        </w:rPr>
        <w:t>Prada S 2017.</w:t>
      </w:r>
      <w:proofErr w:type="gramEnd"/>
      <w:r w:rsidRPr="00250428">
        <w:rPr>
          <w:sz w:val="12"/>
          <w:szCs w:val="12"/>
          <w:lang w:val="en-US"/>
        </w:rPr>
        <w:t xml:space="preserve"> </w:t>
      </w:r>
      <w:proofErr w:type="gramStart"/>
      <w:r w:rsidRPr="00250428">
        <w:rPr>
          <w:sz w:val="12"/>
          <w:szCs w:val="12"/>
          <w:lang w:val="en-US"/>
        </w:rPr>
        <w:t>op</w:t>
      </w:r>
      <w:proofErr w:type="gramEnd"/>
      <w:r w:rsidRPr="00250428">
        <w:rPr>
          <w:sz w:val="12"/>
          <w:szCs w:val="12"/>
          <w:lang w:val="en-US"/>
        </w:rPr>
        <w:t xml:space="preserve"> cit.</w:t>
      </w:r>
    </w:p>
  </w:footnote>
  <w:footnote w:id="10">
    <w:p w:rsidR="00250428" w:rsidRPr="00250428" w:rsidRDefault="00250428" w:rsidP="00250428">
      <w:pPr>
        <w:pStyle w:val="Default"/>
        <w:jc w:val="both"/>
        <w:rPr>
          <w:sz w:val="12"/>
          <w:szCs w:val="12"/>
          <w:lang w:val="en-US"/>
        </w:rPr>
      </w:pPr>
      <w:r w:rsidRPr="00250428">
        <w:rPr>
          <w:rStyle w:val="Refdenotaalpie"/>
          <w:sz w:val="12"/>
          <w:szCs w:val="12"/>
        </w:rPr>
        <w:footnoteRef/>
      </w:r>
      <w:r w:rsidRPr="00250428">
        <w:rPr>
          <w:sz w:val="12"/>
          <w:szCs w:val="12"/>
          <w:lang w:val="en-US"/>
        </w:rPr>
        <w:t xml:space="preserve"> </w:t>
      </w:r>
      <w:proofErr w:type="spellStart"/>
      <w:r w:rsidRPr="00250428">
        <w:rPr>
          <w:sz w:val="12"/>
          <w:szCs w:val="12"/>
          <w:lang w:val="en-US"/>
        </w:rPr>
        <w:t>Ver</w:t>
      </w:r>
      <w:proofErr w:type="spellEnd"/>
      <w:r w:rsidRPr="00250428">
        <w:rPr>
          <w:sz w:val="12"/>
          <w:szCs w:val="12"/>
          <w:lang w:val="en-US"/>
        </w:rPr>
        <w:t xml:space="preserve"> Central America pooled purchasing (a success regional public good) shows the relevant savings </w:t>
      </w:r>
      <w:proofErr w:type="spellStart"/>
      <w:r w:rsidRPr="00250428">
        <w:rPr>
          <w:sz w:val="12"/>
          <w:szCs w:val="12"/>
          <w:lang w:val="en-US"/>
        </w:rPr>
        <w:t>Disponible</w:t>
      </w:r>
      <w:proofErr w:type="spellEnd"/>
      <w:r w:rsidRPr="00250428">
        <w:rPr>
          <w:sz w:val="12"/>
          <w:szCs w:val="12"/>
          <w:lang w:val="en-US"/>
        </w:rPr>
        <w:t xml:space="preserve"> en http://comisca.net/content/negociaci%C3%B3n-conjunta-de-precios-y-compra-de-medicamentos-para-centroam%C3%A9rica-y-rep%C3%BAblica </w:t>
      </w:r>
      <w:proofErr w:type="spellStart"/>
      <w:r w:rsidRPr="00250428">
        <w:rPr>
          <w:sz w:val="12"/>
          <w:szCs w:val="12"/>
          <w:lang w:val="en-US"/>
        </w:rPr>
        <w:t>Consulta</w:t>
      </w:r>
      <w:proofErr w:type="spellEnd"/>
      <w:r w:rsidRPr="00250428">
        <w:rPr>
          <w:sz w:val="12"/>
          <w:szCs w:val="12"/>
          <w:lang w:val="en-US"/>
        </w:rPr>
        <w:t xml:space="preserve"> 30/03/2018. </w:t>
      </w:r>
    </w:p>
    <w:p w:rsidR="00250428" w:rsidRPr="00250428" w:rsidRDefault="00250428" w:rsidP="00250428">
      <w:pPr>
        <w:pStyle w:val="Default"/>
        <w:jc w:val="both"/>
        <w:rPr>
          <w:sz w:val="12"/>
          <w:szCs w:val="12"/>
        </w:rPr>
      </w:pPr>
      <w:r w:rsidRPr="00250428">
        <w:rPr>
          <w:sz w:val="12"/>
          <w:szCs w:val="12"/>
        </w:rPr>
        <w:t xml:space="preserve">Ver precios comparados de los medicamentos observados en los países participantes del proyecto DIME http://www.proyectodime.info/ Consulta 30/03/2018. Allí México muestra, en general, precios más bajos para 38 medicamentos de alto costo. Consulta 30/03/2018. </w:t>
      </w:r>
    </w:p>
    <w:p w:rsidR="00250428" w:rsidRPr="00250428" w:rsidRDefault="00250428" w:rsidP="00250428">
      <w:pPr>
        <w:pStyle w:val="Default"/>
        <w:jc w:val="both"/>
        <w:rPr>
          <w:sz w:val="12"/>
          <w:szCs w:val="12"/>
        </w:rPr>
      </w:pPr>
      <w:r w:rsidRPr="00250428">
        <w:rPr>
          <w:sz w:val="12"/>
          <w:szCs w:val="12"/>
        </w:rPr>
        <w:t>En las observaciones de los precios de referencia que usa Colombia, México tiene consistentemente los precios más bajos gracias al sistema de negociación y compra de centralizada del Instituto Mexicano de Salud. Ver https://www.minsalud.gov.co/salud/MT/Paginas/herramienta-interactiva-de-consulta-de-precios-regulados-de-medicame</w:t>
      </w:r>
      <w:r>
        <w:rPr>
          <w:sz w:val="12"/>
          <w:szCs w:val="12"/>
        </w:rPr>
        <w:t xml:space="preserve">ntos.aspx Consulta 30/03/2018. </w:t>
      </w:r>
    </w:p>
  </w:footnote>
  <w:footnote w:id="11">
    <w:p w:rsidR="00250428" w:rsidRPr="00250428" w:rsidRDefault="00250428" w:rsidP="00250428">
      <w:pPr>
        <w:pStyle w:val="Default"/>
        <w:pageBreakBefore/>
        <w:spacing w:after="240"/>
        <w:jc w:val="both"/>
        <w:rPr>
          <w:rFonts w:ascii="Segoe UI Emoji" w:hAnsi="Segoe UI Emoji" w:cs="Segoe UI Emoji"/>
          <w:sz w:val="20"/>
          <w:szCs w:val="20"/>
        </w:rPr>
      </w:pPr>
      <w:r w:rsidRPr="00250428">
        <w:rPr>
          <w:rStyle w:val="Refdenotaalpie"/>
          <w:sz w:val="12"/>
          <w:szCs w:val="12"/>
        </w:rPr>
        <w:footnoteRef/>
      </w:r>
      <w:r w:rsidRPr="00250428">
        <w:rPr>
          <w:sz w:val="12"/>
          <w:szCs w:val="12"/>
        </w:rPr>
        <w:t xml:space="preserve"> Ver información Negociación y compra centralizada de medicamentos en</w:t>
      </w:r>
      <w:r>
        <w:rPr>
          <w:sz w:val="12"/>
          <w:szCs w:val="12"/>
        </w:rPr>
        <w:t xml:space="preserve"> https://www.minsalud.gov.co/salud/MT/Paginas/negociacion-y-compra-centralizada-de-medicamentos.aspx Consulta 30/03/2018. </w:t>
      </w:r>
    </w:p>
  </w:footnote>
  <w:footnote w:id="12">
    <w:p w:rsidR="00394484" w:rsidRPr="006E0C12" w:rsidRDefault="00394484" w:rsidP="006E0C12">
      <w:pPr>
        <w:pStyle w:val="Textonotapie"/>
        <w:rPr>
          <w:sz w:val="12"/>
          <w:szCs w:val="12"/>
        </w:rPr>
      </w:pPr>
      <w:r w:rsidRPr="006E0C12">
        <w:rPr>
          <w:rStyle w:val="Refdenotaalpie"/>
          <w:sz w:val="12"/>
          <w:szCs w:val="12"/>
        </w:rPr>
        <w:footnoteRef/>
      </w:r>
      <w:r w:rsidRPr="006E0C12">
        <w:rPr>
          <w:sz w:val="12"/>
          <w:szCs w:val="12"/>
          <w:lang w:val="en-US"/>
        </w:rPr>
        <w:t xml:space="preserve"> </w:t>
      </w:r>
      <w:proofErr w:type="gramStart"/>
      <w:r w:rsidRPr="006E0C12">
        <w:rPr>
          <w:sz w:val="12"/>
          <w:szCs w:val="12"/>
          <w:lang w:val="en-US"/>
        </w:rPr>
        <w:t>World Health Organization.</w:t>
      </w:r>
      <w:proofErr w:type="gramEnd"/>
      <w:r w:rsidRPr="006E0C12">
        <w:rPr>
          <w:sz w:val="12"/>
          <w:szCs w:val="12"/>
          <w:lang w:val="en-US"/>
        </w:rPr>
        <w:t xml:space="preserve"> </w:t>
      </w:r>
      <w:proofErr w:type="gramStart"/>
      <w:r w:rsidRPr="006E0C12">
        <w:rPr>
          <w:sz w:val="12"/>
          <w:szCs w:val="12"/>
          <w:lang w:val="en-US"/>
        </w:rPr>
        <w:t>Challenges and opportunities in improving access to medicines through efficient public procurement in the WHO European Region".</w:t>
      </w:r>
      <w:proofErr w:type="gramEnd"/>
      <w:r w:rsidRPr="006E0C12">
        <w:rPr>
          <w:sz w:val="12"/>
          <w:szCs w:val="12"/>
          <w:lang w:val="en-US"/>
        </w:rPr>
        <w:t xml:space="preserve"> </w:t>
      </w:r>
      <w:r w:rsidRPr="006E0C12">
        <w:rPr>
          <w:sz w:val="12"/>
          <w:szCs w:val="12"/>
        </w:rPr>
        <w:t>Disponible en http://www.euro.who.int/__data/assets/pdf_file/0003/323598/Challenges-opportunities-improving-access-me Consulta 30/03/2018</w:t>
      </w:r>
    </w:p>
  </w:footnote>
  <w:footnote w:id="13">
    <w:p w:rsidR="00394484" w:rsidRPr="006E0C12" w:rsidRDefault="00394484" w:rsidP="006E0C12">
      <w:pPr>
        <w:pStyle w:val="Default"/>
        <w:jc w:val="both"/>
        <w:rPr>
          <w:sz w:val="12"/>
          <w:szCs w:val="12"/>
        </w:rPr>
      </w:pPr>
      <w:r w:rsidRPr="006E0C12">
        <w:rPr>
          <w:rStyle w:val="Refdenotaalpie"/>
          <w:sz w:val="12"/>
          <w:szCs w:val="12"/>
        </w:rPr>
        <w:footnoteRef/>
      </w:r>
      <w:r w:rsidRPr="006E0C12">
        <w:rPr>
          <w:sz w:val="12"/>
          <w:szCs w:val="12"/>
        </w:rPr>
        <w:t xml:space="preserve"> Sistema de información de precios de medicamentos –SISMED- 2017. </w:t>
      </w:r>
    </w:p>
  </w:footnote>
  <w:footnote w:id="14">
    <w:p w:rsidR="00394484" w:rsidRPr="006E0C12" w:rsidRDefault="00394484" w:rsidP="006E0C12">
      <w:pPr>
        <w:pStyle w:val="Textonotapie"/>
        <w:rPr>
          <w:sz w:val="12"/>
          <w:szCs w:val="12"/>
        </w:rPr>
      </w:pPr>
      <w:r w:rsidRPr="006E0C12">
        <w:rPr>
          <w:rStyle w:val="Refdenotaalpie"/>
          <w:sz w:val="12"/>
          <w:szCs w:val="12"/>
        </w:rPr>
        <w:footnoteRef/>
      </w:r>
      <w:r w:rsidRPr="006E0C12">
        <w:rPr>
          <w:sz w:val="12"/>
          <w:szCs w:val="12"/>
        </w:rPr>
        <w:t xml:space="preserve"> Ministerio de Salud. Cifras financieras del sector salud. Disponible en https://www.minsalud.gov.co/sites/rid/Lists/BibliotecaDigital/RIDE/VP/FS/cifras-financieras-sector-salud-No.9.pdf Consulta 30/03/2018</w:t>
      </w:r>
    </w:p>
  </w:footnote>
  <w:footnote w:id="15">
    <w:p w:rsidR="00394484" w:rsidRPr="006E0C12" w:rsidRDefault="00394484" w:rsidP="006E0C12">
      <w:pPr>
        <w:pStyle w:val="Textonotapie"/>
        <w:rPr>
          <w:sz w:val="12"/>
          <w:szCs w:val="12"/>
        </w:rPr>
      </w:pPr>
      <w:r w:rsidRPr="006E0C12">
        <w:rPr>
          <w:rStyle w:val="Refdenotaalpie"/>
          <w:sz w:val="12"/>
          <w:szCs w:val="12"/>
        </w:rPr>
        <w:footnoteRef/>
      </w:r>
      <w:r w:rsidRPr="006E0C12">
        <w:rPr>
          <w:sz w:val="12"/>
          <w:szCs w:val="12"/>
        </w:rPr>
        <w:t xml:space="preserve"> Prada S. Salinas M. Documentos de trabajo PROESA. ESTADÍSTICAS DEL SISTEMA DE SALUD: COLOMBIA FRENTE A OCDE. Disponible en https://www.researchgate.net/publication/308419118_ESTADISTICAS_DEL_SISTEMA_DE_SALUD_COLOMBIA_FRENTE_A_OCDE Consulta 30/03/2018</w:t>
      </w:r>
    </w:p>
  </w:footnote>
  <w:footnote w:id="16">
    <w:p w:rsidR="00394484" w:rsidRPr="006E0C12" w:rsidRDefault="00394484" w:rsidP="006E0C12">
      <w:pPr>
        <w:pStyle w:val="Default"/>
        <w:jc w:val="both"/>
        <w:rPr>
          <w:sz w:val="12"/>
          <w:szCs w:val="12"/>
        </w:rPr>
      </w:pPr>
      <w:r w:rsidRPr="006E0C12">
        <w:rPr>
          <w:rStyle w:val="Refdenotaalpie"/>
          <w:sz w:val="12"/>
          <w:szCs w:val="12"/>
        </w:rPr>
        <w:footnoteRef/>
      </w:r>
      <w:r w:rsidRPr="006E0C12">
        <w:rPr>
          <w:sz w:val="12"/>
          <w:szCs w:val="12"/>
        </w:rPr>
        <w:t xml:space="preserve"> En Colombia medicamentos estas iniciativas han sido desarrolladas con el apoyo de recursos de cooperación internacional y recursos propios. Ejemplos de ellas son medicamentos un clic y clic salud (termómetro de precios) y otras de iniciativa institucional como pos </w:t>
      </w:r>
      <w:proofErr w:type="spellStart"/>
      <w:r w:rsidRPr="006E0C12">
        <w:rPr>
          <w:sz w:val="12"/>
          <w:szCs w:val="12"/>
        </w:rPr>
        <w:t>populiVer</w:t>
      </w:r>
      <w:proofErr w:type="spellEnd"/>
      <w:r w:rsidRPr="006E0C12">
        <w:rPr>
          <w:sz w:val="12"/>
          <w:szCs w:val="12"/>
        </w:rPr>
        <w:t xml:space="preserve"> https://www.minsalud.gov.co/Paginas/Nueva-app-pospopuli,-informaci%C3%B3n-en-celulares-al-instante.aspx y http://www.medicamentosaunclic.gov.co/ y </w:t>
      </w:r>
    </w:p>
    <w:p w:rsidR="00394484" w:rsidRPr="006E0C12" w:rsidRDefault="00394484" w:rsidP="006E0C12">
      <w:pPr>
        <w:pStyle w:val="Default"/>
        <w:jc w:val="both"/>
        <w:rPr>
          <w:sz w:val="12"/>
          <w:szCs w:val="12"/>
        </w:rPr>
      </w:pPr>
      <w:r w:rsidRPr="006E0C12">
        <w:rPr>
          <w:sz w:val="12"/>
          <w:szCs w:val="12"/>
        </w:rPr>
        <w:t xml:space="preserve">http://www.actuecolombia.net/index.php/lineas-estrategicas/accion-sectorial/salud Consulta 30/03/2018 </w:t>
      </w:r>
    </w:p>
  </w:footnote>
  <w:footnote w:id="17">
    <w:p w:rsidR="006E0C12" w:rsidRPr="006E0C12" w:rsidRDefault="006E0C12" w:rsidP="006E0C12">
      <w:pPr>
        <w:pStyle w:val="Textonotapie"/>
        <w:rPr>
          <w:sz w:val="12"/>
          <w:szCs w:val="12"/>
        </w:rPr>
      </w:pPr>
      <w:r w:rsidRPr="006E0C12">
        <w:rPr>
          <w:rStyle w:val="Refdenotaalpie"/>
          <w:sz w:val="12"/>
          <w:szCs w:val="12"/>
        </w:rPr>
        <w:footnoteRef/>
      </w:r>
      <w:r w:rsidRPr="006E0C12">
        <w:rPr>
          <w:sz w:val="12"/>
          <w:szCs w:val="12"/>
        </w:rPr>
        <w:t xml:space="preserve"> Ver https://byprice.com/ Consulta 30/03/2018</w:t>
      </w:r>
    </w:p>
  </w:footnote>
  <w:footnote w:id="18">
    <w:p w:rsidR="006E0C12" w:rsidRPr="006E0C12" w:rsidRDefault="006E0C12" w:rsidP="006E0C12">
      <w:pPr>
        <w:pStyle w:val="Textonotapie"/>
        <w:rPr>
          <w:sz w:val="12"/>
          <w:szCs w:val="12"/>
        </w:rPr>
      </w:pPr>
      <w:r w:rsidRPr="006E0C12">
        <w:rPr>
          <w:rStyle w:val="Refdenotaalpie"/>
          <w:sz w:val="12"/>
          <w:szCs w:val="12"/>
        </w:rPr>
        <w:footnoteRef/>
      </w:r>
      <w:r w:rsidRPr="006E0C12">
        <w:rPr>
          <w:sz w:val="12"/>
          <w:szCs w:val="12"/>
        </w:rPr>
        <w:t xml:space="preserve"> Ver http://www.tvperu.gob.pe/informa/tecnologia/minsa-lanza-app-para-consultar-precios-de-medicamentos-y-ubicacion-de-farmacias Consulta 30/03/2018</w:t>
      </w:r>
    </w:p>
  </w:footnote>
  <w:footnote w:id="19">
    <w:p w:rsidR="006E0C12" w:rsidRDefault="006E0C12">
      <w:pPr>
        <w:pStyle w:val="Textonotapie"/>
      </w:pPr>
      <w:r w:rsidRPr="006E0C12">
        <w:rPr>
          <w:rStyle w:val="Refdenotaalpie"/>
          <w:sz w:val="12"/>
          <w:szCs w:val="12"/>
        </w:rPr>
        <w:footnoteRef/>
      </w:r>
      <w:r w:rsidRPr="006E0C12">
        <w:rPr>
          <w:sz w:val="12"/>
          <w:szCs w:val="12"/>
        </w:rPr>
        <w:t xml:space="preserve"> Ver http://sidip.gob.do/medicamentos.php?original=1 Consulta 30/03/2018</w:t>
      </w:r>
    </w:p>
  </w:footnote>
  <w:footnote w:id="20">
    <w:p w:rsidR="006E0C12" w:rsidRPr="006E0C12" w:rsidRDefault="006E0C12" w:rsidP="006E0C12">
      <w:pPr>
        <w:pStyle w:val="Default"/>
        <w:jc w:val="both"/>
        <w:rPr>
          <w:sz w:val="12"/>
          <w:szCs w:val="12"/>
        </w:rPr>
      </w:pPr>
      <w:r w:rsidRPr="006E0C12">
        <w:rPr>
          <w:rStyle w:val="Refdenotaalpie"/>
          <w:sz w:val="12"/>
          <w:szCs w:val="12"/>
        </w:rPr>
        <w:footnoteRef/>
      </w:r>
      <w:r w:rsidRPr="006E0C12">
        <w:rPr>
          <w:sz w:val="12"/>
          <w:szCs w:val="12"/>
        </w:rPr>
        <w:t xml:space="preserve"> Ver http://www.semana.com/hablan-las-marcas/multimedia/colombianos-en-alto-riesgo/558067 Consulta 30/03/2018 </w:t>
      </w:r>
    </w:p>
  </w:footnote>
  <w:footnote w:id="21">
    <w:p w:rsidR="006E0C12" w:rsidRPr="006E0C12" w:rsidRDefault="006E0C12" w:rsidP="006E0C12">
      <w:pPr>
        <w:pStyle w:val="Default"/>
        <w:jc w:val="both"/>
        <w:rPr>
          <w:sz w:val="12"/>
          <w:szCs w:val="12"/>
        </w:rPr>
      </w:pPr>
      <w:r w:rsidRPr="006E0C12">
        <w:rPr>
          <w:rStyle w:val="Refdenotaalpie"/>
          <w:sz w:val="12"/>
          <w:szCs w:val="12"/>
        </w:rPr>
        <w:footnoteRef/>
      </w:r>
      <w:r w:rsidRPr="006E0C12">
        <w:rPr>
          <w:sz w:val="12"/>
          <w:szCs w:val="12"/>
        </w:rPr>
        <w:t xml:space="preserve"> Gaviria G, Vaca CP, </w:t>
      </w:r>
      <w:proofErr w:type="spellStart"/>
      <w:r w:rsidRPr="006E0C12">
        <w:rPr>
          <w:sz w:val="12"/>
          <w:szCs w:val="12"/>
        </w:rPr>
        <w:t>Gomez</w:t>
      </w:r>
      <w:proofErr w:type="spellEnd"/>
      <w:r w:rsidRPr="006E0C12">
        <w:rPr>
          <w:sz w:val="12"/>
          <w:szCs w:val="12"/>
        </w:rPr>
        <w:t xml:space="preserve"> C, Morales AA. El debate de la regulación de medicamentos biotecnológicos: Colombia en el contexto mundial. Revista Panamericana de Salud Pública. 2016</w:t>
      </w:r>
      <w:proofErr w:type="gramStart"/>
      <w:r w:rsidRPr="006E0C12">
        <w:rPr>
          <w:sz w:val="12"/>
          <w:szCs w:val="12"/>
        </w:rPr>
        <w:t>;40:40</w:t>
      </w:r>
      <w:proofErr w:type="gramEnd"/>
      <w:r w:rsidRPr="006E0C12">
        <w:rPr>
          <w:sz w:val="12"/>
          <w:szCs w:val="12"/>
        </w:rPr>
        <w:t xml:space="preserve">-7. Disponible en http://iris.paho.org/xmlui/bitstream/handle/123456789/28578/v40n1a6_40-4v7.pdf?sequence=1&amp;isAllowed=y </w:t>
      </w:r>
    </w:p>
    <w:p w:rsidR="006E0C12" w:rsidRPr="006E0C12" w:rsidRDefault="006E0C12" w:rsidP="006E0C12">
      <w:pPr>
        <w:pStyle w:val="Default"/>
        <w:jc w:val="both"/>
        <w:rPr>
          <w:sz w:val="12"/>
          <w:szCs w:val="12"/>
        </w:rPr>
      </w:pPr>
      <w:r w:rsidRPr="006E0C12">
        <w:rPr>
          <w:sz w:val="12"/>
          <w:szCs w:val="12"/>
        </w:rPr>
        <w:t xml:space="preserve">Cartas a los autores y respuestas http://iris.paho.org/xmlui/handle/123456789/34309 Consulta 04/04/208 </w:t>
      </w:r>
    </w:p>
  </w:footnote>
  <w:footnote w:id="22">
    <w:p w:rsidR="006E0C12" w:rsidRPr="006E0C12" w:rsidRDefault="006E0C12" w:rsidP="006E0C12">
      <w:pPr>
        <w:pStyle w:val="Default"/>
        <w:jc w:val="both"/>
        <w:rPr>
          <w:sz w:val="12"/>
          <w:szCs w:val="12"/>
        </w:rPr>
      </w:pPr>
      <w:r w:rsidRPr="006E0C12">
        <w:rPr>
          <w:rStyle w:val="Refdenotaalpie"/>
          <w:sz w:val="12"/>
          <w:szCs w:val="12"/>
        </w:rPr>
        <w:footnoteRef/>
      </w:r>
      <w:r w:rsidRPr="006E0C12">
        <w:rPr>
          <w:sz w:val="12"/>
          <w:szCs w:val="12"/>
        </w:rPr>
        <w:t xml:space="preserve"> Ver Expertos opinan sobre el proyecto de decreto de medicamentos biotecnológicos </w:t>
      </w:r>
    </w:p>
    <w:p w:rsidR="006E0C12" w:rsidRPr="006E0C12" w:rsidRDefault="006E0C12" w:rsidP="006E0C12">
      <w:pPr>
        <w:pStyle w:val="Textonotapie"/>
        <w:rPr>
          <w:sz w:val="12"/>
          <w:szCs w:val="12"/>
        </w:rPr>
      </w:pPr>
      <w:r w:rsidRPr="006E0C12">
        <w:rPr>
          <w:sz w:val="12"/>
          <w:szCs w:val="12"/>
        </w:rPr>
        <w:t>https://www.minsalud.gov.co/salud/MT/Paginas/biotecnologicos-opinan-expertos.aspx Consulta 30/03/2018</w:t>
      </w:r>
    </w:p>
  </w:footnote>
  <w:footnote w:id="23">
    <w:p w:rsidR="006E0C12" w:rsidRDefault="006E0C12" w:rsidP="006E0C12">
      <w:pPr>
        <w:pStyle w:val="Textonotapie"/>
      </w:pPr>
      <w:r w:rsidRPr="006E0C12">
        <w:rPr>
          <w:rStyle w:val="Refdenotaalpie"/>
          <w:sz w:val="12"/>
          <w:szCs w:val="12"/>
        </w:rPr>
        <w:footnoteRef/>
      </w:r>
      <w:r w:rsidRPr="006E0C12">
        <w:rPr>
          <w:sz w:val="12"/>
          <w:szCs w:val="12"/>
        </w:rPr>
        <w:t xml:space="preserve"> Ver https://www.invima.gov.co/images/pdf/informate/Infografiamedicamentosgenericos.jpg</w:t>
      </w:r>
    </w:p>
  </w:footnote>
  <w:footnote w:id="24">
    <w:p w:rsidR="002F6E16" w:rsidRPr="00620A8B" w:rsidRDefault="002F6E16" w:rsidP="00745BAB">
      <w:pPr>
        <w:autoSpaceDE w:val="0"/>
        <w:autoSpaceDN w:val="0"/>
        <w:adjustRightInd w:val="0"/>
        <w:spacing w:after="0" w:line="240" w:lineRule="auto"/>
        <w:jc w:val="both"/>
        <w:rPr>
          <w:rFonts w:ascii="Calibri" w:hAnsi="Calibri" w:cs="Calibri"/>
          <w:color w:val="000000"/>
          <w:sz w:val="12"/>
          <w:szCs w:val="12"/>
        </w:rPr>
      </w:pPr>
      <w:r w:rsidRPr="00745BAB">
        <w:rPr>
          <w:rStyle w:val="Refdenotaalpie"/>
          <w:sz w:val="12"/>
          <w:szCs w:val="12"/>
        </w:rPr>
        <w:footnoteRef/>
      </w:r>
      <w:r w:rsidRPr="00745BAB">
        <w:rPr>
          <w:sz w:val="12"/>
          <w:szCs w:val="12"/>
        </w:rPr>
        <w:t xml:space="preserve"> </w:t>
      </w:r>
      <w:r w:rsidRPr="00620A8B">
        <w:rPr>
          <w:rFonts w:ascii="Calibri" w:hAnsi="Calibri" w:cs="Calibri"/>
          <w:color w:val="000000"/>
          <w:sz w:val="12"/>
          <w:szCs w:val="12"/>
        </w:rPr>
        <w:t xml:space="preserve">Cálculos realizados a partir de la encuesta de calidad de vida 2016 del DANE. </w:t>
      </w:r>
    </w:p>
    <w:p w:rsidR="002F6E16" w:rsidRPr="00745BAB" w:rsidRDefault="002F6E16" w:rsidP="00745BAB">
      <w:pPr>
        <w:pStyle w:val="Textonotapie"/>
        <w:rPr>
          <w:sz w:val="12"/>
          <w:szCs w:val="12"/>
        </w:rPr>
      </w:pPr>
    </w:p>
  </w:footnote>
  <w:footnote w:id="25">
    <w:p w:rsidR="002F6E16" w:rsidRPr="00620A8B" w:rsidRDefault="002F6E16" w:rsidP="00745BAB">
      <w:pPr>
        <w:autoSpaceDE w:val="0"/>
        <w:autoSpaceDN w:val="0"/>
        <w:adjustRightInd w:val="0"/>
        <w:spacing w:after="0" w:line="240" w:lineRule="auto"/>
        <w:jc w:val="both"/>
        <w:rPr>
          <w:rFonts w:ascii="Calibri" w:hAnsi="Calibri" w:cs="Calibri"/>
          <w:color w:val="000000"/>
          <w:sz w:val="12"/>
          <w:szCs w:val="12"/>
        </w:rPr>
      </w:pPr>
      <w:r w:rsidRPr="00745BAB">
        <w:rPr>
          <w:rStyle w:val="Refdenotaalpie"/>
          <w:sz w:val="12"/>
          <w:szCs w:val="12"/>
        </w:rPr>
        <w:footnoteRef/>
      </w:r>
      <w:r w:rsidRPr="00745BAB">
        <w:rPr>
          <w:sz w:val="12"/>
          <w:szCs w:val="12"/>
        </w:rPr>
        <w:t xml:space="preserve"> </w:t>
      </w:r>
      <w:r w:rsidRPr="00620A8B">
        <w:rPr>
          <w:rFonts w:ascii="Calibri" w:hAnsi="Calibri" w:cs="Calibri"/>
          <w:color w:val="000000"/>
          <w:sz w:val="12"/>
          <w:szCs w:val="12"/>
        </w:rPr>
        <w:t xml:space="preserve">"Estudio de evaluación de servicios de las EPS" 2017 Disponible en </w:t>
      </w:r>
    </w:p>
    <w:p w:rsidR="002F6E16" w:rsidRPr="00620A8B" w:rsidRDefault="002F6E16" w:rsidP="00745BAB">
      <w:pPr>
        <w:autoSpaceDE w:val="0"/>
        <w:autoSpaceDN w:val="0"/>
        <w:adjustRightInd w:val="0"/>
        <w:spacing w:after="0" w:line="240" w:lineRule="auto"/>
        <w:jc w:val="both"/>
        <w:rPr>
          <w:rFonts w:ascii="Calibri" w:hAnsi="Calibri" w:cs="Calibri"/>
          <w:color w:val="000000"/>
          <w:sz w:val="12"/>
          <w:szCs w:val="12"/>
        </w:rPr>
      </w:pPr>
      <w:r w:rsidRPr="00620A8B">
        <w:rPr>
          <w:rFonts w:ascii="Calibri" w:hAnsi="Calibri" w:cs="Calibri"/>
          <w:color w:val="000000"/>
          <w:sz w:val="12"/>
          <w:szCs w:val="12"/>
        </w:rPr>
        <w:t xml:space="preserve">https://www.minsalud.gov.co/sites/rid/Lists/BibliotecaDigital/RIDE/DE/CA/visor-encuesta-satisfacion-eps-2017.pdf Consulta 30/03/2018. </w:t>
      </w:r>
    </w:p>
    <w:p w:rsidR="002F6E16" w:rsidRPr="00745BAB" w:rsidRDefault="002F6E16" w:rsidP="00745BAB">
      <w:pPr>
        <w:pStyle w:val="Textonotapie"/>
        <w:rPr>
          <w:sz w:val="12"/>
          <w:szCs w:val="12"/>
        </w:rPr>
      </w:pPr>
    </w:p>
  </w:footnote>
  <w:footnote w:id="26">
    <w:p w:rsidR="00745BAB" w:rsidRPr="00620A8B" w:rsidRDefault="00745BAB" w:rsidP="00745BAB">
      <w:pPr>
        <w:autoSpaceDE w:val="0"/>
        <w:autoSpaceDN w:val="0"/>
        <w:adjustRightInd w:val="0"/>
        <w:spacing w:after="0" w:line="240" w:lineRule="auto"/>
        <w:jc w:val="both"/>
        <w:rPr>
          <w:rFonts w:ascii="Calibri" w:hAnsi="Calibri" w:cs="Calibri"/>
          <w:color w:val="000000"/>
          <w:sz w:val="12"/>
          <w:szCs w:val="12"/>
        </w:rPr>
      </w:pPr>
      <w:r w:rsidRPr="00745BAB">
        <w:rPr>
          <w:rStyle w:val="Refdenotaalpie"/>
          <w:sz w:val="12"/>
          <w:szCs w:val="12"/>
        </w:rPr>
        <w:footnoteRef/>
      </w:r>
      <w:r w:rsidRPr="00745BAB">
        <w:rPr>
          <w:sz w:val="12"/>
          <w:szCs w:val="12"/>
        </w:rPr>
        <w:t xml:space="preserve"> </w:t>
      </w:r>
      <w:r w:rsidRPr="00620A8B">
        <w:rPr>
          <w:rFonts w:ascii="Calibri" w:hAnsi="Calibri" w:cs="Calibri"/>
          <w:color w:val="000000"/>
          <w:sz w:val="12"/>
          <w:szCs w:val="12"/>
        </w:rPr>
        <w:t xml:space="preserve">Ver Entrega de medicamentos a afiliados no podrá ser mayor a 48 horas Disponible en https://www.minsalud.gov.co/Paginas/medicamentos-48-horas.aspx y https://www.minsalud.gov.co/sites/rid/Lists/BibliotecaDigital/RIDE/DE/DIJ/resolucion-1604-de-2013.pdf Consulta 30/03/2018. </w:t>
      </w:r>
    </w:p>
    <w:p w:rsidR="00745BAB" w:rsidRDefault="00745BAB">
      <w:pPr>
        <w:pStyle w:val="Textonotapie"/>
      </w:pPr>
    </w:p>
  </w:footnote>
  <w:footnote w:id="27">
    <w:p w:rsidR="00745BAB" w:rsidRPr="00745BAB" w:rsidRDefault="00745BAB" w:rsidP="00745BAB">
      <w:pPr>
        <w:pStyle w:val="Textonotapie"/>
        <w:rPr>
          <w:sz w:val="12"/>
          <w:szCs w:val="12"/>
        </w:rPr>
      </w:pPr>
      <w:r w:rsidRPr="00745BAB">
        <w:rPr>
          <w:rStyle w:val="Refdenotaalpie"/>
          <w:sz w:val="12"/>
          <w:szCs w:val="12"/>
        </w:rPr>
        <w:footnoteRef/>
      </w:r>
      <w:r w:rsidRPr="00745BAB">
        <w:rPr>
          <w:sz w:val="12"/>
          <w:szCs w:val="12"/>
        </w:rPr>
        <w:t xml:space="preserve"> </w:t>
      </w:r>
      <w:r w:rsidRPr="00620A8B">
        <w:rPr>
          <w:rFonts w:ascii="Calibri" w:hAnsi="Calibri" w:cs="Calibri"/>
          <w:color w:val="000000"/>
          <w:sz w:val="12"/>
          <w:szCs w:val="12"/>
        </w:rPr>
        <w:t>WHA69.25 - Afrontar la escasez mundial de medicamentos y vacunas. Resolución WHA; 69</w:t>
      </w:r>
      <w:proofErr w:type="gramStart"/>
      <w:r w:rsidRPr="00620A8B">
        <w:rPr>
          <w:rFonts w:ascii="Calibri" w:hAnsi="Calibri" w:cs="Calibri"/>
          <w:color w:val="000000"/>
          <w:sz w:val="12"/>
          <w:szCs w:val="12"/>
        </w:rPr>
        <w:t>.ª</w:t>
      </w:r>
      <w:proofErr w:type="gramEnd"/>
      <w:r w:rsidRPr="00620A8B">
        <w:rPr>
          <w:rFonts w:ascii="Calibri" w:hAnsi="Calibri" w:cs="Calibri"/>
          <w:color w:val="000000"/>
          <w:sz w:val="12"/>
          <w:szCs w:val="12"/>
        </w:rPr>
        <w:t xml:space="preserve"> Asamblea Mundial de la Salud, 2016. Disponible en http://apps.who.int/medicinedocs/es/m/abstract/Js22423es/ Consulta 30/03/2018</w:t>
      </w:r>
    </w:p>
  </w:footnote>
  <w:footnote w:id="28">
    <w:p w:rsidR="00745BAB" w:rsidRPr="00745BAB" w:rsidRDefault="00745BAB" w:rsidP="00745BAB">
      <w:pPr>
        <w:autoSpaceDE w:val="0"/>
        <w:autoSpaceDN w:val="0"/>
        <w:adjustRightInd w:val="0"/>
        <w:spacing w:after="0" w:line="240" w:lineRule="auto"/>
        <w:jc w:val="both"/>
        <w:rPr>
          <w:rFonts w:ascii="Calibri" w:hAnsi="Calibri" w:cs="Calibri"/>
          <w:color w:val="000000"/>
          <w:sz w:val="12"/>
          <w:szCs w:val="12"/>
        </w:rPr>
      </w:pPr>
      <w:r w:rsidRPr="00745BAB">
        <w:rPr>
          <w:rStyle w:val="Refdenotaalpie"/>
          <w:sz w:val="12"/>
          <w:szCs w:val="12"/>
        </w:rPr>
        <w:footnoteRef/>
      </w:r>
      <w:r w:rsidRPr="00745BAB">
        <w:rPr>
          <w:sz w:val="12"/>
          <w:szCs w:val="12"/>
          <w:lang w:val="en-US"/>
        </w:rPr>
        <w:t xml:space="preserve"> </w:t>
      </w:r>
      <w:proofErr w:type="spellStart"/>
      <w:r w:rsidRPr="00620A8B">
        <w:rPr>
          <w:rFonts w:ascii="Calibri" w:hAnsi="Calibri" w:cs="Calibri"/>
          <w:color w:val="000000"/>
          <w:sz w:val="12"/>
          <w:szCs w:val="12"/>
          <w:lang w:val="en-US"/>
        </w:rPr>
        <w:t>Chabner</w:t>
      </w:r>
      <w:proofErr w:type="spellEnd"/>
      <w:r w:rsidRPr="00620A8B">
        <w:rPr>
          <w:rFonts w:ascii="Calibri" w:hAnsi="Calibri" w:cs="Calibri"/>
          <w:color w:val="000000"/>
          <w:sz w:val="12"/>
          <w:szCs w:val="12"/>
          <w:lang w:val="en-US"/>
        </w:rPr>
        <w:t xml:space="preserve"> BA. Drug shortages - A critical challenge for the generic-drug market The New England Journal of Medicine (N </w:t>
      </w:r>
      <w:proofErr w:type="spellStart"/>
      <w:r w:rsidRPr="00620A8B">
        <w:rPr>
          <w:rFonts w:ascii="Calibri" w:hAnsi="Calibri" w:cs="Calibri"/>
          <w:color w:val="000000"/>
          <w:sz w:val="12"/>
          <w:szCs w:val="12"/>
          <w:lang w:val="en-US"/>
        </w:rPr>
        <w:t>Engl</w:t>
      </w:r>
      <w:proofErr w:type="spellEnd"/>
      <w:r w:rsidRPr="00620A8B">
        <w:rPr>
          <w:rFonts w:ascii="Calibri" w:hAnsi="Calibri" w:cs="Calibri"/>
          <w:color w:val="000000"/>
          <w:sz w:val="12"/>
          <w:szCs w:val="12"/>
          <w:lang w:val="en-US"/>
        </w:rPr>
        <w:t xml:space="preserve"> J Med) 8 de </w:t>
      </w:r>
      <w:proofErr w:type="spellStart"/>
      <w:r w:rsidRPr="00620A8B">
        <w:rPr>
          <w:rFonts w:ascii="Calibri" w:hAnsi="Calibri" w:cs="Calibri"/>
          <w:color w:val="000000"/>
          <w:sz w:val="12"/>
          <w:szCs w:val="12"/>
          <w:lang w:val="en-US"/>
        </w:rPr>
        <w:t>diciembre</w:t>
      </w:r>
      <w:proofErr w:type="spellEnd"/>
      <w:r w:rsidRPr="00620A8B">
        <w:rPr>
          <w:rFonts w:ascii="Calibri" w:hAnsi="Calibri" w:cs="Calibri"/>
          <w:color w:val="000000"/>
          <w:sz w:val="12"/>
          <w:szCs w:val="12"/>
          <w:lang w:val="en-US"/>
        </w:rPr>
        <w:t xml:space="preserve"> </w:t>
      </w:r>
      <w:proofErr w:type="gramStart"/>
      <w:r w:rsidRPr="00620A8B">
        <w:rPr>
          <w:rFonts w:ascii="Calibri" w:hAnsi="Calibri" w:cs="Calibri"/>
          <w:color w:val="000000"/>
          <w:sz w:val="12"/>
          <w:szCs w:val="12"/>
          <w:lang w:val="en-US"/>
        </w:rPr>
        <w:t>2011 .</w:t>
      </w:r>
      <w:proofErr w:type="gramEnd"/>
      <w:r w:rsidRPr="00620A8B">
        <w:rPr>
          <w:rFonts w:ascii="Calibri" w:hAnsi="Calibri" w:cs="Calibri"/>
          <w:color w:val="000000"/>
          <w:sz w:val="12"/>
          <w:szCs w:val="12"/>
          <w:lang w:val="en-US"/>
        </w:rPr>
        <w:t xml:space="preserve"> </w:t>
      </w:r>
      <w:r w:rsidRPr="00620A8B">
        <w:rPr>
          <w:rFonts w:ascii="Calibri" w:hAnsi="Calibri" w:cs="Calibri"/>
          <w:color w:val="000000"/>
          <w:sz w:val="12"/>
          <w:szCs w:val="12"/>
        </w:rPr>
        <w:t xml:space="preserve">Volumen 365 nº 23 página(s) 2147-9 </w:t>
      </w:r>
    </w:p>
  </w:footnote>
  <w:footnote w:id="29">
    <w:p w:rsidR="00745BAB" w:rsidRPr="00745BAB" w:rsidRDefault="00745BAB" w:rsidP="00745BAB">
      <w:pPr>
        <w:autoSpaceDE w:val="0"/>
        <w:autoSpaceDN w:val="0"/>
        <w:adjustRightInd w:val="0"/>
        <w:spacing w:after="0" w:line="240" w:lineRule="auto"/>
        <w:jc w:val="both"/>
        <w:rPr>
          <w:rFonts w:ascii="Calibri" w:hAnsi="Calibri" w:cs="Calibri"/>
          <w:color w:val="000000"/>
          <w:sz w:val="12"/>
          <w:szCs w:val="12"/>
        </w:rPr>
      </w:pPr>
      <w:r w:rsidRPr="00745BAB">
        <w:rPr>
          <w:rStyle w:val="Refdenotaalpie"/>
          <w:sz w:val="12"/>
          <w:szCs w:val="12"/>
        </w:rPr>
        <w:footnoteRef/>
      </w:r>
      <w:r w:rsidRPr="00745BAB">
        <w:rPr>
          <w:sz w:val="12"/>
          <w:szCs w:val="12"/>
        </w:rPr>
        <w:t xml:space="preserve"> </w:t>
      </w:r>
      <w:r w:rsidRPr="00620A8B">
        <w:rPr>
          <w:rFonts w:ascii="Calibri" w:hAnsi="Calibri" w:cs="Calibri"/>
          <w:color w:val="000000"/>
          <w:sz w:val="12"/>
          <w:szCs w:val="12"/>
        </w:rPr>
        <w:t xml:space="preserve">https://www.fda.gov/ohrms/dockets/ac/06/briefing/2006_4204B1_06_FDA.DrugShortages.pdf </w:t>
      </w:r>
    </w:p>
  </w:footnote>
  <w:footnote w:id="30">
    <w:p w:rsidR="00745BAB" w:rsidRDefault="00745BAB" w:rsidP="00745BAB">
      <w:pPr>
        <w:pStyle w:val="Textonotapie"/>
      </w:pPr>
      <w:r w:rsidRPr="00745BAB">
        <w:rPr>
          <w:rStyle w:val="Refdenotaalpie"/>
          <w:sz w:val="12"/>
          <w:szCs w:val="12"/>
        </w:rPr>
        <w:footnoteRef/>
      </w:r>
      <w:r w:rsidRPr="00745BAB">
        <w:rPr>
          <w:sz w:val="12"/>
          <w:szCs w:val="12"/>
        </w:rPr>
        <w:t xml:space="preserve"> </w:t>
      </w:r>
      <w:r w:rsidRPr="00620A8B">
        <w:rPr>
          <w:rFonts w:ascii="Calibri" w:hAnsi="Calibri" w:cs="Calibri"/>
          <w:color w:val="000000"/>
          <w:sz w:val="12"/>
          <w:szCs w:val="12"/>
        </w:rPr>
        <w:t>Información relacionada con las alertas de desabastecimiento de medicamentos en Colombia. Ver https://www.minsalud.gov.co/salud/MT/Paginas/desabastecimiento.aspx Consulta 30/03/2018</w:t>
      </w:r>
    </w:p>
  </w:footnote>
  <w:footnote w:id="31">
    <w:p w:rsidR="004F2839" w:rsidRDefault="004F2839">
      <w:pPr>
        <w:pStyle w:val="Textonotapie"/>
        <w:rPr>
          <w:rFonts w:ascii="Calibri" w:hAnsi="Calibri" w:cs="Calibri"/>
          <w:color w:val="000000"/>
          <w:sz w:val="12"/>
          <w:szCs w:val="12"/>
        </w:rPr>
      </w:pPr>
      <w:r>
        <w:rPr>
          <w:rStyle w:val="Refdenotaalpie"/>
        </w:rPr>
        <w:footnoteRef/>
      </w:r>
      <w:r>
        <w:t xml:space="preserve"> </w:t>
      </w:r>
      <w:r w:rsidRPr="004F2839">
        <w:rPr>
          <w:rFonts w:ascii="Calibri" w:hAnsi="Calibri" w:cs="Calibri"/>
          <w:color w:val="000000"/>
          <w:sz w:val="8"/>
          <w:szCs w:val="8"/>
        </w:rPr>
        <w:t xml:space="preserve">OMS. Comisión sobre determinantes sociales de la salud. Informe final. 2009. Disponible en </w:t>
      </w:r>
      <w:hyperlink r:id="rId2" w:history="1">
        <w:r w:rsidR="00703EB2" w:rsidRPr="00513113">
          <w:rPr>
            <w:rStyle w:val="Hipervnculo"/>
            <w:rFonts w:ascii="Calibri" w:hAnsi="Calibri" w:cs="Calibri"/>
            <w:sz w:val="12"/>
            <w:szCs w:val="12"/>
          </w:rPr>
          <w:t>file:///D:/Usuarios/CristianCamilo/Downloads/9789243563701_spa.pdf Consulta 30/03/2018</w:t>
        </w:r>
      </w:hyperlink>
    </w:p>
    <w:p w:rsidR="00703EB2" w:rsidRPr="000A4626" w:rsidRDefault="00703EB2" w:rsidP="000A4626">
      <w:pPr>
        <w:autoSpaceDE w:val="0"/>
        <w:autoSpaceDN w:val="0"/>
        <w:adjustRightInd w:val="0"/>
        <w:spacing w:after="0" w:line="240" w:lineRule="auto"/>
        <w:jc w:val="both"/>
        <w:rPr>
          <w:rFonts w:ascii="Segoe UI Emoji" w:hAnsi="Segoe UI Emoji" w:cs="Segoe UI Emoji"/>
          <w:color w:val="000000"/>
          <w:sz w:val="12"/>
          <w:szCs w:val="12"/>
        </w:rPr>
      </w:pPr>
      <w:r w:rsidRPr="004F2839">
        <w:rPr>
          <w:rFonts w:ascii="Calibri" w:hAnsi="Calibri" w:cs="Calibri"/>
          <w:color w:val="000000"/>
          <w:sz w:val="12"/>
          <w:szCs w:val="12"/>
        </w:rPr>
        <w:t xml:space="preserve">WHA62.14 Reducir las inequidades sanitarias actuando sobre los determinantes sociales de la salud Disponible en http://www.who.int/social_determinants/thecommission/finalreport/about_csdh/es/ Consulta 30/03/2018 </w:t>
      </w:r>
    </w:p>
  </w:footnote>
  <w:footnote w:id="32">
    <w:p w:rsidR="004F2839" w:rsidRPr="000A4626" w:rsidRDefault="004F2839" w:rsidP="000A4626">
      <w:pPr>
        <w:autoSpaceDE w:val="0"/>
        <w:autoSpaceDN w:val="0"/>
        <w:adjustRightInd w:val="0"/>
        <w:spacing w:after="0" w:line="240" w:lineRule="auto"/>
        <w:jc w:val="both"/>
        <w:rPr>
          <w:rFonts w:ascii="Segoe UI Emoji" w:hAnsi="Segoe UI Emoji" w:cs="Segoe UI Emoji"/>
          <w:color w:val="000000"/>
          <w:sz w:val="12"/>
          <w:szCs w:val="12"/>
        </w:rPr>
      </w:pPr>
      <w:r w:rsidRPr="000A4626">
        <w:rPr>
          <w:rStyle w:val="Refdenotaalpie"/>
          <w:sz w:val="12"/>
          <w:szCs w:val="12"/>
        </w:rPr>
        <w:footnoteRef/>
      </w:r>
      <w:r w:rsidRPr="000A4626">
        <w:rPr>
          <w:sz w:val="12"/>
          <w:szCs w:val="12"/>
        </w:rPr>
        <w:t xml:space="preserve"> </w:t>
      </w:r>
      <w:r w:rsidR="00703EB2" w:rsidRPr="004F2839">
        <w:rPr>
          <w:rFonts w:ascii="Calibri" w:hAnsi="Calibri" w:cs="Calibri"/>
          <w:color w:val="000000"/>
          <w:sz w:val="12"/>
          <w:szCs w:val="12"/>
        </w:rPr>
        <w:t xml:space="preserve">Se entienden como errores en la prescripción, dispensación, almacenamiento, preparación y administración de medicamentos Ver definición Europea http://www.ema.europa.eu/ema/index.jsp?curl=pages/special_topics/general/general_content_000570.jsp&amp;mid=WC0b01ac0580659655 Consulta 04/04/2018 </w:t>
      </w:r>
    </w:p>
  </w:footnote>
  <w:footnote w:id="33">
    <w:p w:rsidR="000A4626" w:rsidRPr="000A4626" w:rsidRDefault="000A4626" w:rsidP="000A4626">
      <w:pPr>
        <w:autoSpaceDE w:val="0"/>
        <w:autoSpaceDN w:val="0"/>
        <w:adjustRightInd w:val="0"/>
        <w:spacing w:after="0" w:line="240" w:lineRule="auto"/>
        <w:jc w:val="both"/>
        <w:rPr>
          <w:rFonts w:ascii="Segoe UI Emoji" w:hAnsi="Segoe UI Emoji" w:cs="Segoe UI Emoji"/>
          <w:color w:val="000000"/>
          <w:sz w:val="12"/>
          <w:szCs w:val="12"/>
          <w:lang w:val="en-US"/>
        </w:rPr>
      </w:pPr>
      <w:r w:rsidRPr="000A4626">
        <w:rPr>
          <w:rStyle w:val="Refdenotaalpie"/>
          <w:sz w:val="12"/>
          <w:szCs w:val="12"/>
        </w:rPr>
        <w:footnoteRef/>
      </w:r>
      <w:r w:rsidRPr="000A4626">
        <w:rPr>
          <w:sz w:val="12"/>
          <w:szCs w:val="12"/>
          <w:lang w:val="en-US"/>
        </w:rPr>
        <w:t xml:space="preserve"> </w:t>
      </w:r>
      <w:r w:rsidRPr="00703EB2">
        <w:rPr>
          <w:rFonts w:ascii="Calibri" w:hAnsi="Calibri" w:cs="Calibri"/>
          <w:color w:val="000000"/>
          <w:sz w:val="12"/>
          <w:szCs w:val="12"/>
          <w:lang w:val="en-US"/>
        </w:rPr>
        <w:t xml:space="preserve">Medication Without Harm: WHO Global Patient Safety Challenge </w:t>
      </w:r>
      <w:proofErr w:type="spellStart"/>
      <w:r w:rsidRPr="00703EB2">
        <w:rPr>
          <w:rFonts w:ascii="Calibri" w:hAnsi="Calibri" w:cs="Calibri"/>
          <w:color w:val="000000"/>
          <w:sz w:val="12"/>
          <w:szCs w:val="12"/>
          <w:lang w:val="en-US"/>
        </w:rPr>
        <w:t>Ver</w:t>
      </w:r>
      <w:proofErr w:type="spellEnd"/>
      <w:r w:rsidRPr="00703EB2">
        <w:rPr>
          <w:rFonts w:ascii="Calibri" w:hAnsi="Calibri" w:cs="Calibri"/>
          <w:color w:val="000000"/>
          <w:sz w:val="12"/>
          <w:szCs w:val="12"/>
          <w:lang w:val="en-US"/>
        </w:rPr>
        <w:t xml:space="preserve"> http://apps.who.int/iris/bitstream/handle/10665/255263/WHO-HIS-SDS-2017.6-eng.pdf;jsessionid=D87790942051AC24E3278FF2A401B5CB?sequence=1 </w:t>
      </w:r>
      <w:proofErr w:type="spellStart"/>
      <w:r w:rsidRPr="00703EB2">
        <w:rPr>
          <w:rFonts w:ascii="Calibri" w:hAnsi="Calibri" w:cs="Calibri"/>
          <w:color w:val="000000"/>
          <w:sz w:val="12"/>
          <w:szCs w:val="12"/>
          <w:lang w:val="en-US"/>
        </w:rPr>
        <w:t>Consulta</w:t>
      </w:r>
      <w:proofErr w:type="spellEnd"/>
      <w:r w:rsidRPr="00703EB2">
        <w:rPr>
          <w:rFonts w:ascii="Calibri" w:hAnsi="Calibri" w:cs="Calibri"/>
          <w:color w:val="000000"/>
          <w:sz w:val="12"/>
          <w:szCs w:val="12"/>
          <w:lang w:val="en-US"/>
        </w:rPr>
        <w:t xml:space="preserve"> 30/03/2018 </w:t>
      </w:r>
    </w:p>
  </w:footnote>
  <w:footnote w:id="34">
    <w:p w:rsidR="000A4626" w:rsidRPr="000A4626" w:rsidRDefault="000A4626" w:rsidP="000A4626">
      <w:pPr>
        <w:autoSpaceDE w:val="0"/>
        <w:autoSpaceDN w:val="0"/>
        <w:adjustRightInd w:val="0"/>
        <w:spacing w:after="0" w:line="240" w:lineRule="auto"/>
        <w:jc w:val="both"/>
        <w:rPr>
          <w:rFonts w:ascii="Calibri" w:hAnsi="Calibri" w:cs="Calibri"/>
          <w:color w:val="000000"/>
          <w:sz w:val="12"/>
          <w:szCs w:val="12"/>
          <w:lang w:val="en-US"/>
        </w:rPr>
      </w:pPr>
      <w:r w:rsidRPr="000A4626">
        <w:rPr>
          <w:rStyle w:val="Refdenotaalpie"/>
          <w:sz w:val="12"/>
          <w:szCs w:val="12"/>
        </w:rPr>
        <w:footnoteRef/>
      </w:r>
      <w:r w:rsidRPr="000A4626">
        <w:rPr>
          <w:sz w:val="12"/>
          <w:szCs w:val="12"/>
          <w:lang w:val="en-US"/>
        </w:rPr>
        <w:t xml:space="preserve"> </w:t>
      </w:r>
      <w:proofErr w:type="spellStart"/>
      <w:r w:rsidRPr="00703EB2">
        <w:rPr>
          <w:rFonts w:ascii="Calibri" w:hAnsi="Calibri" w:cs="Calibri"/>
          <w:color w:val="000000"/>
          <w:sz w:val="12"/>
          <w:szCs w:val="12"/>
          <w:lang w:val="en-US"/>
        </w:rPr>
        <w:t>Marengoni</w:t>
      </w:r>
      <w:proofErr w:type="spellEnd"/>
      <w:r w:rsidRPr="00703EB2">
        <w:rPr>
          <w:rFonts w:ascii="Calibri" w:hAnsi="Calibri" w:cs="Calibri"/>
          <w:color w:val="000000"/>
          <w:sz w:val="12"/>
          <w:szCs w:val="12"/>
          <w:lang w:val="en-US"/>
        </w:rPr>
        <w:t xml:space="preserve"> A, </w:t>
      </w:r>
      <w:proofErr w:type="spellStart"/>
      <w:r w:rsidRPr="00703EB2">
        <w:rPr>
          <w:rFonts w:ascii="Calibri" w:hAnsi="Calibri" w:cs="Calibri"/>
          <w:color w:val="000000"/>
          <w:sz w:val="12"/>
          <w:szCs w:val="12"/>
          <w:lang w:val="en-US"/>
        </w:rPr>
        <w:t>Angleman</w:t>
      </w:r>
      <w:proofErr w:type="spellEnd"/>
      <w:r w:rsidRPr="00703EB2">
        <w:rPr>
          <w:rFonts w:ascii="Calibri" w:hAnsi="Calibri" w:cs="Calibri"/>
          <w:color w:val="000000"/>
          <w:sz w:val="12"/>
          <w:szCs w:val="12"/>
          <w:lang w:val="en-US"/>
        </w:rPr>
        <w:t xml:space="preserve"> S, </w:t>
      </w:r>
      <w:proofErr w:type="spellStart"/>
      <w:r w:rsidRPr="00703EB2">
        <w:rPr>
          <w:rFonts w:ascii="Calibri" w:hAnsi="Calibri" w:cs="Calibri"/>
          <w:color w:val="000000"/>
          <w:sz w:val="12"/>
          <w:szCs w:val="12"/>
          <w:lang w:val="en-US"/>
        </w:rPr>
        <w:t>Melis</w:t>
      </w:r>
      <w:proofErr w:type="spellEnd"/>
      <w:r w:rsidRPr="00703EB2">
        <w:rPr>
          <w:rFonts w:ascii="Calibri" w:hAnsi="Calibri" w:cs="Calibri"/>
          <w:color w:val="000000"/>
          <w:sz w:val="12"/>
          <w:szCs w:val="12"/>
          <w:lang w:val="en-US"/>
        </w:rPr>
        <w:t xml:space="preserve"> R, </w:t>
      </w:r>
      <w:proofErr w:type="spellStart"/>
      <w:r w:rsidRPr="00703EB2">
        <w:rPr>
          <w:rFonts w:ascii="Calibri" w:hAnsi="Calibri" w:cs="Calibri"/>
          <w:color w:val="000000"/>
          <w:sz w:val="12"/>
          <w:szCs w:val="12"/>
          <w:lang w:val="en-US"/>
        </w:rPr>
        <w:t>Mangialasche</w:t>
      </w:r>
      <w:proofErr w:type="spellEnd"/>
      <w:r w:rsidRPr="00703EB2">
        <w:rPr>
          <w:rFonts w:ascii="Calibri" w:hAnsi="Calibri" w:cs="Calibri"/>
          <w:color w:val="000000"/>
          <w:sz w:val="12"/>
          <w:szCs w:val="12"/>
          <w:lang w:val="en-US"/>
        </w:rPr>
        <w:t xml:space="preserve"> F, Karp A, </w:t>
      </w:r>
      <w:proofErr w:type="spellStart"/>
      <w:r w:rsidRPr="00703EB2">
        <w:rPr>
          <w:rFonts w:ascii="Calibri" w:hAnsi="Calibri" w:cs="Calibri"/>
          <w:color w:val="000000"/>
          <w:sz w:val="12"/>
          <w:szCs w:val="12"/>
          <w:lang w:val="en-US"/>
        </w:rPr>
        <w:t>Garmen</w:t>
      </w:r>
      <w:proofErr w:type="spellEnd"/>
      <w:r w:rsidRPr="00703EB2">
        <w:rPr>
          <w:rFonts w:ascii="Calibri" w:hAnsi="Calibri" w:cs="Calibri"/>
          <w:color w:val="000000"/>
          <w:sz w:val="12"/>
          <w:szCs w:val="12"/>
          <w:lang w:val="en-US"/>
        </w:rPr>
        <w:t xml:space="preserve"> A, et al. Aging with </w:t>
      </w:r>
      <w:proofErr w:type="spellStart"/>
      <w:r w:rsidRPr="00703EB2">
        <w:rPr>
          <w:rFonts w:ascii="Calibri" w:hAnsi="Calibri" w:cs="Calibri"/>
          <w:color w:val="000000"/>
          <w:sz w:val="12"/>
          <w:szCs w:val="12"/>
          <w:lang w:val="en-US"/>
        </w:rPr>
        <w:t>multimorbidity</w:t>
      </w:r>
      <w:proofErr w:type="spellEnd"/>
      <w:r w:rsidRPr="00703EB2">
        <w:rPr>
          <w:rFonts w:ascii="Calibri" w:hAnsi="Calibri" w:cs="Calibri"/>
          <w:color w:val="000000"/>
          <w:sz w:val="12"/>
          <w:szCs w:val="12"/>
          <w:lang w:val="en-US"/>
        </w:rPr>
        <w:t>: a systematic review of the literature. Ageing Res Rev. 2011</w:t>
      </w:r>
      <w:proofErr w:type="gramStart"/>
      <w:r w:rsidRPr="00703EB2">
        <w:rPr>
          <w:rFonts w:ascii="Calibri" w:hAnsi="Calibri" w:cs="Calibri"/>
          <w:color w:val="000000"/>
          <w:sz w:val="12"/>
          <w:szCs w:val="12"/>
          <w:lang w:val="en-US"/>
        </w:rPr>
        <w:t>;10</w:t>
      </w:r>
      <w:proofErr w:type="gramEnd"/>
      <w:r w:rsidRPr="00703EB2">
        <w:rPr>
          <w:rFonts w:ascii="Calibri" w:hAnsi="Calibri" w:cs="Calibri"/>
          <w:color w:val="000000"/>
          <w:sz w:val="12"/>
          <w:szCs w:val="12"/>
          <w:lang w:val="en-US"/>
        </w:rPr>
        <w:t xml:space="preserve">(4):430-9. </w:t>
      </w:r>
    </w:p>
  </w:footnote>
  <w:footnote w:id="35">
    <w:p w:rsidR="000A4626" w:rsidRPr="000A4626" w:rsidRDefault="000A4626" w:rsidP="000A4626">
      <w:pPr>
        <w:autoSpaceDE w:val="0"/>
        <w:autoSpaceDN w:val="0"/>
        <w:adjustRightInd w:val="0"/>
        <w:spacing w:after="0" w:line="240" w:lineRule="auto"/>
        <w:jc w:val="both"/>
        <w:rPr>
          <w:rFonts w:ascii="Calibri" w:hAnsi="Calibri" w:cs="Calibri"/>
          <w:color w:val="000000"/>
          <w:sz w:val="12"/>
          <w:szCs w:val="12"/>
          <w:lang w:val="en-US"/>
        </w:rPr>
      </w:pPr>
      <w:r w:rsidRPr="000A4626">
        <w:rPr>
          <w:rStyle w:val="Refdenotaalpie"/>
          <w:sz w:val="12"/>
          <w:szCs w:val="12"/>
        </w:rPr>
        <w:footnoteRef/>
      </w:r>
      <w:r w:rsidRPr="000A4626">
        <w:rPr>
          <w:sz w:val="12"/>
          <w:szCs w:val="12"/>
          <w:lang w:val="en-US"/>
        </w:rPr>
        <w:t xml:space="preserve"> </w:t>
      </w:r>
      <w:r w:rsidRPr="00703EB2">
        <w:rPr>
          <w:rFonts w:ascii="Calibri" w:hAnsi="Calibri" w:cs="Calibri"/>
          <w:color w:val="000000"/>
          <w:sz w:val="12"/>
          <w:szCs w:val="12"/>
          <w:lang w:val="en-US"/>
        </w:rPr>
        <w:t xml:space="preserve">Patterson SM, Hughes C, </w:t>
      </w:r>
      <w:proofErr w:type="spellStart"/>
      <w:r w:rsidRPr="00703EB2">
        <w:rPr>
          <w:rFonts w:ascii="Calibri" w:hAnsi="Calibri" w:cs="Calibri"/>
          <w:color w:val="000000"/>
          <w:sz w:val="12"/>
          <w:szCs w:val="12"/>
          <w:lang w:val="en-US"/>
        </w:rPr>
        <w:t>Kerse</w:t>
      </w:r>
      <w:proofErr w:type="spellEnd"/>
      <w:r w:rsidRPr="00703EB2">
        <w:rPr>
          <w:rFonts w:ascii="Calibri" w:hAnsi="Calibri" w:cs="Calibri"/>
          <w:color w:val="000000"/>
          <w:sz w:val="12"/>
          <w:szCs w:val="12"/>
          <w:lang w:val="en-US"/>
        </w:rPr>
        <w:t xml:space="preserve"> N, Cardwell CR, Bradley MC. Interventions to improve the appropriate use of </w:t>
      </w:r>
      <w:proofErr w:type="spellStart"/>
      <w:r w:rsidRPr="00703EB2">
        <w:rPr>
          <w:rFonts w:ascii="Calibri" w:hAnsi="Calibri" w:cs="Calibri"/>
          <w:color w:val="000000"/>
          <w:sz w:val="12"/>
          <w:szCs w:val="12"/>
          <w:lang w:val="en-US"/>
        </w:rPr>
        <w:t>polypharmacy</w:t>
      </w:r>
      <w:proofErr w:type="spellEnd"/>
      <w:r w:rsidRPr="00703EB2">
        <w:rPr>
          <w:rFonts w:ascii="Calibri" w:hAnsi="Calibri" w:cs="Calibri"/>
          <w:color w:val="000000"/>
          <w:sz w:val="12"/>
          <w:szCs w:val="12"/>
          <w:lang w:val="en-US"/>
        </w:rPr>
        <w:t xml:space="preserve"> for older people. Cochrane Database </w:t>
      </w:r>
      <w:proofErr w:type="spellStart"/>
      <w:r w:rsidRPr="00703EB2">
        <w:rPr>
          <w:rFonts w:ascii="Calibri" w:hAnsi="Calibri" w:cs="Calibri"/>
          <w:color w:val="000000"/>
          <w:sz w:val="12"/>
          <w:szCs w:val="12"/>
          <w:lang w:val="en-US"/>
        </w:rPr>
        <w:t>Syst</w:t>
      </w:r>
      <w:proofErr w:type="spellEnd"/>
      <w:r w:rsidRPr="00703EB2">
        <w:rPr>
          <w:rFonts w:ascii="Calibri" w:hAnsi="Calibri" w:cs="Calibri"/>
          <w:color w:val="000000"/>
          <w:sz w:val="12"/>
          <w:szCs w:val="12"/>
          <w:lang w:val="en-US"/>
        </w:rPr>
        <w:t xml:space="preserve"> Rev. 2012</w:t>
      </w:r>
      <w:proofErr w:type="gramStart"/>
      <w:r w:rsidRPr="00703EB2">
        <w:rPr>
          <w:rFonts w:ascii="Calibri" w:hAnsi="Calibri" w:cs="Calibri"/>
          <w:color w:val="000000"/>
          <w:sz w:val="12"/>
          <w:szCs w:val="12"/>
          <w:lang w:val="en-US"/>
        </w:rPr>
        <w:t>;5</w:t>
      </w:r>
      <w:proofErr w:type="gramEnd"/>
      <w:r w:rsidRPr="00703EB2">
        <w:rPr>
          <w:rFonts w:ascii="Calibri" w:hAnsi="Calibri" w:cs="Calibri"/>
          <w:color w:val="000000"/>
          <w:sz w:val="12"/>
          <w:szCs w:val="12"/>
          <w:lang w:val="en-US"/>
        </w:rPr>
        <w:t xml:space="preserve">: Cd008165. </w:t>
      </w:r>
    </w:p>
  </w:footnote>
  <w:footnote w:id="36">
    <w:p w:rsidR="000A4626" w:rsidRPr="000A4626" w:rsidRDefault="000A4626" w:rsidP="000A4626">
      <w:pPr>
        <w:autoSpaceDE w:val="0"/>
        <w:autoSpaceDN w:val="0"/>
        <w:adjustRightInd w:val="0"/>
        <w:spacing w:after="0" w:line="240" w:lineRule="auto"/>
        <w:jc w:val="both"/>
        <w:rPr>
          <w:rFonts w:ascii="Calibri" w:hAnsi="Calibri" w:cs="Calibri"/>
          <w:color w:val="000000"/>
          <w:sz w:val="12"/>
          <w:szCs w:val="12"/>
        </w:rPr>
      </w:pPr>
      <w:r w:rsidRPr="000A4626">
        <w:rPr>
          <w:rStyle w:val="Refdenotaalpie"/>
          <w:sz w:val="12"/>
          <w:szCs w:val="12"/>
        </w:rPr>
        <w:footnoteRef/>
      </w:r>
      <w:r w:rsidRPr="000A4626">
        <w:rPr>
          <w:sz w:val="12"/>
          <w:szCs w:val="12"/>
          <w:lang w:val="en-US"/>
        </w:rPr>
        <w:t xml:space="preserve"> </w:t>
      </w:r>
      <w:r w:rsidRPr="00703EB2">
        <w:rPr>
          <w:rFonts w:ascii="Calibri" w:hAnsi="Calibri" w:cs="Calibri"/>
          <w:color w:val="000000"/>
          <w:sz w:val="12"/>
          <w:szCs w:val="12"/>
          <w:lang w:val="en-US"/>
        </w:rPr>
        <w:t xml:space="preserve">Reason B, </w:t>
      </w:r>
      <w:proofErr w:type="spellStart"/>
      <w:r w:rsidRPr="00703EB2">
        <w:rPr>
          <w:rFonts w:ascii="Calibri" w:hAnsi="Calibri" w:cs="Calibri"/>
          <w:color w:val="000000"/>
          <w:sz w:val="12"/>
          <w:szCs w:val="12"/>
          <w:lang w:val="en-US"/>
        </w:rPr>
        <w:t>Terner</w:t>
      </w:r>
      <w:proofErr w:type="spellEnd"/>
      <w:r w:rsidRPr="00703EB2">
        <w:rPr>
          <w:rFonts w:ascii="Calibri" w:hAnsi="Calibri" w:cs="Calibri"/>
          <w:color w:val="000000"/>
          <w:sz w:val="12"/>
          <w:szCs w:val="12"/>
          <w:lang w:val="en-US"/>
        </w:rPr>
        <w:t xml:space="preserve"> M, Moses </w:t>
      </w:r>
      <w:proofErr w:type="spellStart"/>
      <w:r w:rsidRPr="00703EB2">
        <w:rPr>
          <w:rFonts w:ascii="Calibri" w:hAnsi="Calibri" w:cs="Calibri"/>
          <w:color w:val="000000"/>
          <w:sz w:val="12"/>
          <w:szCs w:val="12"/>
          <w:lang w:val="en-US"/>
        </w:rPr>
        <w:t>McKeag</w:t>
      </w:r>
      <w:proofErr w:type="spellEnd"/>
      <w:r w:rsidRPr="00703EB2">
        <w:rPr>
          <w:rFonts w:ascii="Calibri" w:hAnsi="Calibri" w:cs="Calibri"/>
          <w:color w:val="000000"/>
          <w:sz w:val="12"/>
          <w:szCs w:val="12"/>
          <w:lang w:val="en-US"/>
        </w:rPr>
        <w:t xml:space="preserve"> A, Tipper B, Webster G. </w:t>
      </w:r>
      <w:proofErr w:type="gramStart"/>
      <w:r w:rsidRPr="00703EB2">
        <w:rPr>
          <w:rFonts w:ascii="Calibri" w:hAnsi="Calibri" w:cs="Calibri"/>
          <w:color w:val="000000"/>
          <w:sz w:val="12"/>
          <w:szCs w:val="12"/>
          <w:lang w:val="en-US"/>
        </w:rPr>
        <w:t xml:space="preserve">The impact of </w:t>
      </w:r>
      <w:proofErr w:type="spellStart"/>
      <w:r w:rsidRPr="00703EB2">
        <w:rPr>
          <w:rFonts w:ascii="Calibri" w:hAnsi="Calibri" w:cs="Calibri"/>
          <w:color w:val="000000"/>
          <w:sz w:val="12"/>
          <w:szCs w:val="12"/>
          <w:lang w:val="en-US"/>
        </w:rPr>
        <w:t>polypharmacy</w:t>
      </w:r>
      <w:proofErr w:type="spellEnd"/>
      <w:r w:rsidRPr="00703EB2">
        <w:rPr>
          <w:rFonts w:ascii="Calibri" w:hAnsi="Calibri" w:cs="Calibri"/>
          <w:color w:val="000000"/>
          <w:sz w:val="12"/>
          <w:szCs w:val="12"/>
          <w:lang w:val="en-US"/>
        </w:rPr>
        <w:t xml:space="preserve"> on the health of Canadian seniors.</w:t>
      </w:r>
      <w:proofErr w:type="gramEnd"/>
      <w:r w:rsidRPr="00703EB2">
        <w:rPr>
          <w:rFonts w:ascii="Calibri" w:hAnsi="Calibri" w:cs="Calibri"/>
          <w:color w:val="000000"/>
          <w:sz w:val="12"/>
          <w:szCs w:val="12"/>
          <w:lang w:val="en-US"/>
        </w:rPr>
        <w:t xml:space="preserve"> </w:t>
      </w:r>
      <w:proofErr w:type="spellStart"/>
      <w:r w:rsidRPr="00703EB2">
        <w:rPr>
          <w:rFonts w:ascii="Calibri" w:hAnsi="Calibri" w:cs="Calibri"/>
          <w:color w:val="000000"/>
          <w:sz w:val="12"/>
          <w:szCs w:val="12"/>
        </w:rPr>
        <w:t>Fam</w:t>
      </w:r>
      <w:proofErr w:type="spellEnd"/>
      <w:r w:rsidRPr="00703EB2">
        <w:rPr>
          <w:rFonts w:ascii="Calibri" w:hAnsi="Calibri" w:cs="Calibri"/>
          <w:color w:val="000000"/>
          <w:sz w:val="12"/>
          <w:szCs w:val="12"/>
        </w:rPr>
        <w:t xml:space="preserve"> </w:t>
      </w:r>
      <w:proofErr w:type="spellStart"/>
      <w:r w:rsidRPr="00703EB2">
        <w:rPr>
          <w:rFonts w:ascii="Calibri" w:hAnsi="Calibri" w:cs="Calibri"/>
          <w:color w:val="000000"/>
          <w:sz w:val="12"/>
          <w:szCs w:val="12"/>
        </w:rPr>
        <w:t>Pract</w:t>
      </w:r>
      <w:proofErr w:type="spellEnd"/>
      <w:r w:rsidRPr="00703EB2">
        <w:rPr>
          <w:rFonts w:ascii="Calibri" w:hAnsi="Calibri" w:cs="Calibri"/>
          <w:color w:val="000000"/>
          <w:sz w:val="12"/>
          <w:szCs w:val="12"/>
        </w:rPr>
        <w:t>. 2012</w:t>
      </w:r>
      <w:proofErr w:type="gramStart"/>
      <w:r w:rsidRPr="00703EB2">
        <w:rPr>
          <w:rFonts w:ascii="Calibri" w:hAnsi="Calibri" w:cs="Calibri"/>
          <w:color w:val="000000"/>
          <w:sz w:val="12"/>
          <w:szCs w:val="12"/>
        </w:rPr>
        <w:t>;29</w:t>
      </w:r>
      <w:proofErr w:type="gramEnd"/>
      <w:r w:rsidRPr="00703EB2">
        <w:rPr>
          <w:rFonts w:ascii="Calibri" w:hAnsi="Calibri" w:cs="Calibri"/>
          <w:color w:val="000000"/>
          <w:sz w:val="12"/>
          <w:szCs w:val="12"/>
        </w:rPr>
        <w:t xml:space="preserve">(4):427-32. </w:t>
      </w:r>
    </w:p>
  </w:footnote>
  <w:footnote w:id="37">
    <w:p w:rsidR="000A4626" w:rsidRPr="000A4626" w:rsidRDefault="000A4626" w:rsidP="000A4626">
      <w:pPr>
        <w:autoSpaceDE w:val="0"/>
        <w:autoSpaceDN w:val="0"/>
        <w:adjustRightInd w:val="0"/>
        <w:spacing w:after="0" w:line="240" w:lineRule="auto"/>
        <w:jc w:val="both"/>
        <w:rPr>
          <w:rFonts w:ascii="Segoe UI Emoji" w:hAnsi="Segoe UI Emoji" w:cs="Segoe UI Emoji"/>
          <w:color w:val="000000"/>
          <w:sz w:val="12"/>
          <w:szCs w:val="12"/>
        </w:rPr>
      </w:pPr>
      <w:r w:rsidRPr="000A4626">
        <w:rPr>
          <w:rStyle w:val="Refdenotaalpie"/>
          <w:sz w:val="12"/>
          <w:szCs w:val="12"/>
        </w:rPr>
        <w:footnoteRef/>
      </w:r>
      <w:r w:rsidRPr="000A4626">
        <w:rPr>
          <w:sz w:val="12"/>
          <w:szCs w:val="12"/>
        </w:rPr>
        <w:t xml:space="preserve"> </w:t>
      </w:r>
      <w:r w:rsidRPr="00703EB2">
        <w:rPr>
          <w:rFonts w:ascii="Calibri" w:hAnsi="Calibri" w:cs="Calibri"/>
          <w:color w:val="000000"/>
          <w:sz w:val="12"/>
          <w:szCs w:val="12"/>
        </w:rPr>
        <w:t xml:space="preserve">Ver http://www.consultorsalud.com/informe-especial-14873-errores-de-medicacion-se-identificaron-en-colombia-durante-8-anos Consulta 30/03/2018 </w:t>
      </w:r>
    </w:p>
  </w:footnote>
  <w:footnote w:id="38">
    <w:p w:rsidR="000A4626" w:rsidRPr="00703EB2" w:rsidRDefault="000A4626" w:rsidP="000A4626">
      <w:pPr>
        <w:autoSpaceDE w:val="0"/>
        <w:autoSpaceDN w:val="0"/>
        <w:adjustRightInd w:val="0"/>
        <w:spacing w:after="0" w:line="240" w:lineRule="auto"/>
        <w:jc w:val="both"/>
        <w:rPr>
          <w:rFonts w:ascii="Calibri" w:hAnsi="Calibri" w:cs="Calibri"/>
          <w:color w:val="000000"/>
          <w:sz w:val="12"/>
          <w:szCs w:val="12"/>
        </w:rPr>
      </w:pPr>
      <w:r w:rsidRPr="000A4626">
        <w:rPr>
          <w:rStyle w:val="Refdenotaalpie"/>
          <w:sz w:val="12"/>
          <w:szCs w:val="12"/>
        </w:rPr>
        <w:footnoteRef/>
      </w:r>
      <w:r w:rsidRPr="000A4626">
        <w:rPr>
          <w:sz w:val="12"/>
          <w:szCs w:val="12"/>
        </w:rPr>
        <w:t xml:space="preserve"> </w:t>
      </w:r>
      <w:r w:rsidRPr="00703EB2">
        <w:rPr>
          <w:rFonts w:ascii="Calibri" w:hAnsi="Calibri" w:cs="Calibri"/>
          <w:color w:val="000000"/>
          <w:sz w:val="12"/>
          <w:szCs w:val="12"/>
        </w:rPr>
        <w:t xml:space="preserve">Existe abundante información sobre el asunto, ver ejemplos https://www.intmedsafe.net/ </w:t>
      </w:r>
    </w:p>
    <w:p w:rsidR="000A4626" w:rsidRPr="00703EB2" w:rsidRDefault="000A4626" w:rsidP="000A4626">
      <w:pPr>
        <w:autoSpaceDE w:val="0"/>
        <w:autoSpaceDN w:val="0"/>
        <w:adjustRightInd w:val="0"/>
        <w:spacing w:after="0" w:line="240" w:lineRule="auto"/>
        <w:jc w:val="both"/>
        <w:rPr>
          <w:rFonts w:ascii="Segoe UI Emoji" w:hAnsi="Segoe UI Emoji" w:cs="Segoe UI Emoji"/>
          <w:color w:val="000000"/>
          <w:sz w:val="12"/>
          <w:szCs w:val="12"/>
        </w:rPr>
      </w:pPr>
      <w:r w:rsidRPr="00703EB2">
        <w:rPr>
          <w:rFonts w:ascii="Calibri" w:hAnsi="Calibri" w:cs="Calibri"/>
          <w:color w:val="000000"/>
          <w:sz w:val="12"/>
          <w:szCs w:val="12"/>
        </w:rPr>
        <w:t xml:space="preserve">https://www.ismp.org/recommendations/confused-drug-names-list Consulta 30/03/2018 </w:t>
      </w:r>
    </w:p>
    <w:p w:rsidR="000A4626" w:rsidRPr="000A4626" w:rsidRDefault="000A4626" w:rsidP="000A4626">
      <w:pPr>
        <w:pStyle w:val="Textonotapie"/>
        <w:rPr>
          <w:sz w:val="12"/>
          <w:szCs w:val="12"/>
        </w:rPr>
      </w:pPr>
    </w:p>
  </w:footnote>
  <w:footnote w:id="39">
    <w:p w:rsidR="000A4626" w:rsidRPr="007353F2" w:rsidRDefault="000A4626" w:rsidP="00AF71A8">
      <w:pPr>
        <w:autoSpaceDE w:val="0"/>
        <w:autoSpaceDN w:val="0"/>
        <w:adjustRightInd w:val="0"/>
        <w:spacing w:after="0" w:line="240" w:lineRule="auto"/>
        <w:jc w:val="both"/>
        <w:rPr>
          <w:rFonts w:ascii="Segoe UI Emoji" w:hAnsi="Segoe UI Emoji" w:cs="Segoe UI Emoji"/>
          <w:color w:val="000000"/>
          <w:sz w:val="12"/>
          <w:szCs w:val="12"/>
        </w:rPr>
      </w:pPr>
      <w:r w:rsidRPr="00AF71A8">
        <w:rPr>
          <w:rStyle w:val="Refdenotaalpie"/>
          <w:sz w:val="12"/>
          <w:szCs w:val="12"/>
        </w:rPr>
        <w:footnoteRef/>
      </w:r>
      <w:r w:rsidRPr="00AF71A8">
        <w:rPr>
          <w:sz w:val="12"/>
          <w:szCs w:val="12"/>
          <w:lang w:val="en-US"/>
        </w:rPr>
        <w:t xml:space="preserve"> </w:t>
      </w:r>
      <w:proofErr w:type="spellStart"/>
      <w:proofErr w:type="gramStart"/>
      <w:r w:rsidRPr="00703EB2">
        <w:rPr>
          <w:rFonts w:ascii="Calibri" w:hAnsi="Calibri" w:cs="Calibri"/>
          <w:color w:val="000000"/>
          <w:sz w:val="12"/>
          <w:szCs w:val="12"/>
          <w:lang w:val="en-US"/>
        </w:rPr>
        <w:t>Velo</w:t>
      </w:r>
      <w:proofErr w:type="spellEnd"/>
      <w:r w:rsidRPr="00703EB2">
        <w:rPr>
          <w:rFonts w:ascii="Calibri" w:hAnsi="Calibri" w:cs="Calibri"/>
          <w:color w:val="000000"/>
          <w:sz w:val="12"/>
          <w:szCs w:val="12"/>
          <w:lang w:val="en-US"/>
        </w:rPr>
        <w:t xml:space="preserve"> G, </w:t>
      </w:r>
      <w:proofErr w:type="spellStart"/>
      <w:r w:rsidRPr="00703EB2">
        <w:rPr>
          <w:rFonts w:ascii="Calibri" w:hAnsi="Calibri" w:cs="Calibri"/>
          <w:color w:val="000000"/>
          <w:sz w:val="12"/>
          <w:szCs w:val="12"/>
          <w:lang w:val="en-US"/>
        </w:rPr>
        <w:t>Moretti</w:t>
      </w:r>
      <w:proofErr w:type="spellEnd"/>
      <w:r w:rsidRPr="00703EB2">
        <w:rPr>
          <w:rFonts w:ascii="Calibri" w:hAnsi="Calibri" w:cs="Calibri"/>
          <w:color w:val="000000"/>
          <w:sz w:val="12"/>
          <w:szCs w:val="12"/>
          <w:lang w:val="en-US"/>
        </w:rPr>
        <w:t xml:space="preserve"> U. </w:t>
      </w:r>
      <w:proofErr w:type="spellStart"/>
      <w:r w:rsidRPr="00703EB2">
        <w:rPr>
          <w:rFonts w:ascii="Calibri" w:hAnsi="Calibri" w:cs="Calibri"/>
          <w:color w:val="000000"/>
          <w:sz w:val="12"/>
          <w:szCs w:val="12"/>
          <w:lang w:val="en-US"/>
        </w:rPr>
        <w:t>Ecopharmacovigilance</w:t>
      </w:r>
      <w:proofErr w:type="spellEnd"/>
      <w:r w:rsidRPr="00703EB2">
        <w:rPr>
          <w:rFonts w:ascii="Calibri" w:hAnsi="Calibri" w:cs="Calibri"/>
          <w:color w:val="000000"/>
          <w:sz w:val="12"/>
          <w:szCs w:val="12"/>
          <w:lang w:val="en-US"/>
        </w:rPr>
        <w:t xml:space="preserve"> for better health.</w:t>
      </w:r>
      <w:proofErr w:type="gramEnd"/>
      <w:r w:rsidRPr="00703EB2">
        <w:rPr>
          <w:rFonts w:ascii="Calibri" w:hAnsi="Calibri" w:cs="Calibri"/>
          <w:color w:val="000000"/>
          <w:sz w:val="12"/>
          <w:szCs w:val="12"/>
          <w:lang w:val="en-US"/>
        </w:rPr>
        <w:t xml:space="preserve"> </w:t>
      </w:r>
      <w:r w:rsidRPr="007353F2">
        <w:rPr>
          <w:rFonts w:ascii="Calibri" w:hAnsi="Calibri" w:cs="Calibri"/>
          <w:color w:val="000000"/>
          <w:sz w:val="12"/>
          <w:szCs w:val="12"/>
        </w:rPr>
        <w:t xml:space="preserve">Drug Saf. 2010; 1:33(11):963-8. </w:t>
      </w:r>
    </w:p>
    <w:p w:rsidR="000A4626" w:rsidRPr="00AF71A8" w:rsidRDefault="000A4626" w:rsidP="00AF71A8">
      <w:pPr>
        <w:pStyle w:val="Textonotapie"/>
        <w:rPr>
          <w:sz w:val="12"/>
          <w:szCs w:val="12"/>
        </w:rPr>
      </w:pPr>
    </w:p>
  </w:footnote>
  <w:footnote w:id="40">
    <w:p w:rsidR="000A4626" w:rsidRPr="007353F2" w:rsidRDefault="000A4626" w:rsidP="00AF71A8">
      <w:pPr>
        <w:pStyle w:val="Textonotapie"/>
        <w:rPr>
          <w:sz w:val="12"/>
          <w:szCs w:val="12"/>
          <w:lang w:val="en-US"/>
        </w:rPr>
      </w:pPr>
      <w:r w:rsidRPr="00AF71A8">
        <w:rPr>
          <w:rStyle w:val="Refdenotaalpie"/>
          <w:sz w:val="12"/>
          <w:szCs w:val="12"/>
        </w:rPr>
        <w:footnoteRef/>
      </w:r>
      <w:r w:rsidRPr="00AF71A8">
        <w:rPr>
          <w:sz w:val="12"/>
          <w:szCs w:val="12"/>
        </w:rPr>
        <w:t xml:space="preserve"> </w:t>
      </w:r>
      <w:r w:rsidR="00C71D5C" w:rsidRPr="000A4626">
        <w:rPr>
          <w:rFonts w:ascii="Calibri" w:hAnsi="Calibri" w:cs="Calibri"/>
          <w:color w:val="000000"/>
          <w:sz w:val="12"/>
          <w:szCs w:val="12"/>
        </w:rPr>
        <w:t xml:space="preserve">Ortiz de García S </w:t>
      </w:r>
      <w:r w:rsidR="00C71D5C" w:rsidRPr="000A4626">
        <w:rPr>
          <w:rFonts w:ascii="Segoe UI Emoji" w:hAnsi="Segoe UI Emoji" w:cs="Segoe UI Emoji"/>
          <w:color w:val="000000"/>
          <w:sz w:val="12"/>
          <w:szCs w:val="12"/>
        </w:rPr>
        <w:t xml:space="preserve">et al. </w:t>
      </w:r>
      <w:proofErr w:type="gramStart"/>
      <w:r w:rsidR="00C71D5C" w:rsidRPr="000A4626">
        <w:rPr>
          <w:rFonts w:ascii="Calibri" w:hAnsi="Calibri" w:cs="Calibri"/>
          <w:color w:val="000000"/>
          <w:sz w:val="12"/>
          <w:szCs w:val="12"/>
          <w:lang w:val="en-US"/>
        </w:rPr>
        <w:t>Consumption and occurrence of pharmaceutical and personal care products in the aquatic environment in Spain.</w:t>
      </w:r>
      <w:proofErr w:type="gramEnd"/>
      <w:r w:rsidR="00C71D5C" w:rsidRPr="000A4626">
        <w:rPr>
          <w:rFonts w:ascii="Calibri" w:hAnsi="Calibri" w:cs="Calibri"/>
          <w:color w:val="000000"/>
          <w:sz w:val="12"/>
          <w:szCs w:val="12"/>
          <w:lang w:val="en-US"/>
        </w:rPr>
        <w:t xml:space="preserve"> </w:t>
      </w:r>
      <w:proofErr w:type="spellStart"/>
      <w:r w:rsidR="00C71D5C" w:rsidRPr="000A4626">
        <w:rPr>
          <w:rFonts w:ascii="Calibri" w:hAnsi="Calibri" w:cs="Calibri"/>
          <w:color w:val="000000"/>
          <w:sz w:val="12"/>
          <w:szCs w:val="12"/>
          <w:lang w:val="en-US"/>
        </w:rPr>
        <w:t>Sci</w:t>
      </w:r>
      <w:proofErr w:type="spellEnd"/>
      <w:r w:rsidR="00C71D5C" w:rsidRPr="000A4626">
        <w:rPr>
          <w:rFonts w:ascii="Calibri" w:hAnsi="Calibri" w:cs="Calibri"/>
          <w:color w:val="000000"/>
          <w:sz w:val="12"/>
          <w:szCs w:val="12"/>
          <w:lang w:val="en-US"/>
        </w:rPr>
        <w:t xml:space="preserve"> Total Environ. </w:t>
      </w:r>
      <w:r w:rsidR="00C71D5C" w:rsidRPr="000A4626">
        <w:rPr>
          <w:rFonts w:ascii="Segoe UI Emoji" w:hAnsi="Segoe UI Emoji" w:cs="Segoe UI Emoji"/>
          <w:color w:val="000000"/>
          <w:sz w:val="12"/>
          <w:szCs w:val="12"/>
          <w:lang w:val="en-US"/>
        </w:rPr>
        <w:t>2013 Feb 1;444:451-65</w:t>
      </w:r>
    </w:p>
  </w:footnote>
  <w:footnote w:id="41">
    <w:p w:rsidR="00C71D5C" w:rsidRPr="000A4626" w:rsidRDefault="00C71D5C" w:rsidP="00AF71A8">
      <w:pPr>
        <w:autoSpaceDE w:val="0"/>
        <w:autoSpaceDN w:val="0"/>
        <w:adjustRightInd w:val="0"/>
        <w:spacing w:after="0" w:line="240" w:lineRule="auto"/>
        <w:jc w:val="both"/>
        <w:rPr>
          <w:rFonts w:ascii="Segoe UI Emoji" w:hAnsi="Segoe UI Emoji" w:cs="Segoe UI Emoji"/>
          <w:color w:val="000000"/>
          <w:sz w:val="12"/>
          <w:szCs w:val="12"/>
          <w:lang w:val="en-US"/>
        </w:rPr>
      </w:pPr>
      <w:r w:rsidRPr="00AF71A8">
        <w:rPr>
          <w:rStyle w:val="Refdenotaalpie"/>
          <w:sz w:val="12"/>
          <w:szCs w:val="12"/>
        </w:rPr>
        <w:footnoteRef/>
      </w:r>
      <w:r w:rsidRPr="000A4626">
        <w:rPr>
          <w:rFonts w:ascii="Calibri" w:hAnsi="Calibri" w:cs="Calibri"/>
          <w:color w:val="000000"/>
          <w:sz w:val="12"/>
          <w:szCs w:val="12"/>
          <w:lang w:val="en-US"/>
        </w:rPr>
        <w:t xml:space="preserve">WHO Antibacterial agents in clinical development – an analysis of the antibacterial clinical development pipeline, including tuberculosis 2017 </w:t>
      </w:r>
      <w:proofErr w:type="spellStart"/>
      <w:r w:rsidRPr="000A4626">
        <w:rPr>
          <w:rFonts w:ascii="Calibri" w:hAnsi="Calibri" w:cs="Calibri"/>
          <w:color w:val="000000"/>
          <w:sz w:val="12"/>
          <w:szCs w:val="12"/>
          <w:lang w:val="en-US"/>
        </w:rPr>
        <w:t>Disponible</w:t>
      </w:r>
      <w:proofErr w:type="spellEnd"/>
      <w:r w:rsidRPr="000A4626">
        <w:rPr>
          <w:rFonts w:ascii="Calibri" w:hAnsi="Calibri" w:cs="Calibri"/>
          <w:color w:val="000000"/>
          <w:sz w:val="12"/>
          <w:szCs w:val="12"/>
          <w:lang w:val="en-US"/>
        </w:rPr>
        <w:t xml:space="preserve"> en http://www.who.int/mediacentre/news/releases/2017/running-out-antibiotics/es/ </w:t>
      </w:r>
      <w:proofErr w:type="spellStart"/>
      <w:r w:rsidRPr="000A4626">
        <w:rPr>
          <w:rFonts w:ascii="Segoe UI Emoji" w:hAnsi="Segoe UI Emoji" w:cs="Segoe UI Emoji"/>
          <w:color w:val="000000"/>
          <w:sz w:val="12"/>
          <w:szCs w:val="12"/>
          <w:lang w:val="en-US"/>
        </w:rPr>
        <w:t>Consulta</w:t>
      </w:r>
      <w:proofErr w:type="spellEnd"/>
      <w:r w:rsidRPr="000A4626">
        <w:rPr>
          <w:rFonts w:ascii="Segoe UI Emoji" w:hAnsi="Segoe UI Emoji" w:cs="Segoe UI Emoji"/>
          <w:color w:val="000000"/>
          <w:sz w:val="12"/>
          <w:szCs w:val="12"/>
          <w:lang w:val="en-US"/>
        </w:rPr>
        <w:t xml:space="preserve"> 30/03/2018 </w:t>
      </w:r>
    </w:p>
    <w:p w:rsidR="00C71D5C" w:rsidRPr="00AF71A8" w:rsidRDefault="00C71D5C" w:rsidP="00AF71A8">
      <w:pPr>
        <w:pStyle w:val="Textonotapie"/>
        <w:rPr>
          <w:sz w:val="12"/>
          <w:szCs w:val="12"/>
          <w:lang w:val="en-US"/>
        </w:rPr>
      </w:pPr>
    </w:p>
  </w:footnote>
  <w:footnote w:id="42">
    <w:p w:rsidR="00AF71A8" w:rsidRPr="000A4626" w:rsidRDefault="00C71D5C" w:rsidP="00AF71A8">
      <w:pPr>
        <w:autoSpaceDE w:val="0"/>
        <w:autoSpaceDN w:val="0"/>
        <w:adjustRightInd w:val="0"/>
        <w:spacing w:after="0" w:line="240" w:lineRule="auto"/>
        <w:jc w:val="both"/>
        <w:rPr>
          <w:rFonts w:ascii="Segoe UI Emoji" w:hAnsi="Segoe UI Emoji" w:cs="Segoe UI Emoji"/>
          <w:color w:val="000000"/>
          <w:sz w:val="12"/>
          <w:szCs w:val="12"/>
        </w:rPr>
      </w:pPr>
      <w:r w:rsidRPr="00AF71A8">
        <w:rPr>
          <w:rStyle w:val="Refdenotaalpie"/>
          <w:sz w:val="12"/>
          <w:szCs w:val="12"/>
        </w:rPr>
        <w:footnoteRef/>
      </w:r>
      <w:r w:rsidRPr="00AF71A8">
        <w:rPr>
          <w:sz w:val="12"/>
          <w:szCs w:val="12"/>
        </w:rPr>
        <w:t xml:space="preserve"> </w:t>
      </w:r>
      <w:r w:rsidR="00AF71A8" w:rsidRPr="000A4626">
        <w:rPr>
          <w:rFonts w:ascii="Calibri" w:hAnsi="Calibri" w:cs="Calibri"/>
          <w:color w:val="000000"/>
          <w:sz w:val="12"/>
          <w:szCs w:val="12"/>
        </w:rPr>
        <w:t>HAI/</w:t>
      </w:r>
      <w:proofErr w:type="spellStart"/>
      <w:r w:rsidR="00AF71A8" w:rsidRPr="000A4626">
        <w:rPr>
          <w:rFonts w:ascii="Calibri" w:hAnsi="Calibri" w:cs="Calibri"/>
          <w:color w:val="000000"/>
          <w:sz w:val="12"/>
          <w:szCs w:val="12"/>
        </w:rPr>
        <w:t>OMS.Comprender</w:t>
      </w:r>
      <w:proofErr w:type="spellEnd"/>
      <w:r w:rsidR="00AF71A8" w:rsidRPr="000A4626">
        <w:rPr>
          <w:rFonts w:ascii="Calibri" w:hAnsi="Calibri" w:cs="Calibri"/>
          <w:color w:val="000000"/>
          <w:sz w:val="12"/>
          <w:szCs w:val="12"/>
        </w:rPr>
        <w:t xml:space="preserve"> la promoción farmacéutica y responder a ella: Una guía práctica. En este manual se referencian algunos estudios http://haiweb.org/wp-content/uploads/2015/05/Pharma-Promo-Guide-Spanish.pdf Consulta 30/03/2018 </w:t>
      </w:r>
    </w:p>
    <w:p w:rsidR="00C71D5C" w:rsidRPr="00AF71A8" w:rsidRDefault="00C71D5C" w:rsidP="00AF71A8">
      <w:pPr>
        <w:pStyle w:val="Textonotapie"/>
        <w:rPr>
          <w:sz w:val="12"/>
          <w:szCs w:val="12"/>
        </w:rPr>
      </w:pPr>
    </w:p>
  </w:footnote>
  <w:footnote w:id="43">
    <w:p w:rsidR="00AF71A8" w:rsidRPr="00AF71A8" w:rsidRDefault="00AF71A8" w:rsidP="00AF71A8">
      <w:pPr>
        <w:autoSpaceDE w:val="0"/>
        <w:autoSpaceDN w:val="0"/>
        <w:adjustRightInd w:val="0"/>
        <w:spacing w:after="0" w:line="240" w:lineRule="auto"/>
        <w:jc w:val="both"/>
        <w:rPr>
          <w:rFonts w:ascii="Segoe UI Emoji" w:hAnsi="Segoe UI Emoji" w:cs="Segoe UI Emoji"/>
          <w:color w:val="000000"/>
          <w:sz w:val="12"/>
          <w:szCs w:val="12"/>
        </w:rPr>
      </w:pPr>
      <w:r w:rsidRPr="00AF71A8">
        <w:rPr>
          <w:rStyle w:val="Refdenotaalpie"/>
          <w:sz w:val="12"/>
          <w:szCs w:val="12"/>
        </w:rPr>
        <w:footnoteRef/>
      </w:r>
      <w:r w:rsidRPr="00AF71A8">
        <w:rPr>
          <w:sz w:val="12"/>
          <w:szCs w:val="12"/>
        </w:rPr>
        <w:t xml:space="preserve"> </w:t>
      </w:r>
      <w:r w:rsidRPr="00AF71A8">
        <w:rPr>
          <w:rFonts w:ascii="Calibri" w:hAnsi="Calibri" w:cs="Calibri"/>
          <w:color w:val="000000"/>
          <w:sz w:val="12"/>
          <w:szCs w:val="12"/>
        </w:rPr>
        <w:t xml:space="preserve">Ver http://www.medicossinmarca.cl/wp-content/uploads/2012/06/Are-medical-conferences-useful-for-whom.pdf Consulta 30/03/2018 </w:t>
      </w:r>
    </w:p>
    <w:p w:rsidR="00AF71A8" w:rsidRPr="00AF71A8" w:rsidRDefault="00AF71A8" w:rsidP="00AF71A8">
      <w:pPr>
        <w:pStyle w:val="Textonotapie"/>
        <w:rPr>
          <w:sz w:val="12"/>
          <w:szCs w:val="12"/>
        </w:rPr>
      </w:pPr>
    </w:p>
  </w:footnote>
  <w:footnote w:id="44">
    <w:p w:rsidR="00AF71A8" w:rsidRPr="00AF71A8" w:rsidRDefault="00AF71A8" w:rsidP="00AF71A8">
      <w:pPr>
        <w:autoSpaceDE w:val="0"/>
        <w:autoSpaceDN w:val="0"/>
        <w:adjustRightInd w:val="0"/>
        <w:spacing w:after="0" w:line="240" w:lineRule="auto"/>
        <w:jc w:val="both"/>
        <w:rPr>
          <w:rFonts w:ascii="Segoe UI Emoji" w:hAnsi="Segoe UI Emoji" w:cs="Segoe UI Emoji"/>
          <w:color w:val="000000"/>
          <w:sz w:val="12"/>
          <w:szCs w:val="12"/>
        </w:rPr>
      </w:pPr>
      <w:r w:rsidRPr="00AF71A8">
        <w:rPr>
          <w:rStyle w:val="Refdenotaalpie"/>
          <w:sz w:val="12"/>
          <w:szCs w:val="12"/>
        </w:rPr>
        <w:footnoteRef/>
      </w:r>
      <w:r w:rsidRPr="00AF71A8">
        <w:rPr>
          <w:sz w:val="12"/>
          <w:szCs w:val="12"/>
        </w:rPr>
        <w:t xml:space="preserve"> </w:t>
      </w:r>
      <w:r w:rsidRPr="00AF71A8">
        <w:rPr>
          <w:rFonts w:ascii="Calibri" w:hAnsi="Calibri" w:cs="Calibri"/>
          <w:color w:val="000000"/>
          <w:sz w:val="12"/>
          <w:szCs w:val="12"/>
        </w:rPr>
        <w:t xml:space="preserve">http://www.medicossinmarca.cl/wp-content/uploads/2012/07/Pharmaceutical-industry-financial-support-for-medical-education.pdf Consulta 30/03/2018 </w:t>
      </w:r>
    </w:p>
    <w:p w:rsidR="00AF71A8" w:rsidRPr="00AF71A8" w:rsidRDefault="00AF71A8" w:rsidP="00AF71A8">
      <w:pPr>
        <w:pStyle w:val="Textonotapie"/>
        <w:rPr>
          <w:sz w:val="12"/>
          <w:szCs w:val="12"/>
        </w:rPr>
      </w:pPr>
    </w:p>
  </w:footnote>
  <w:footnote w:id="45">
    <w:p w:rsidR="00AF71A8" w:rsidRPr="007353F2" w:rsidRDefault="00AF71A8" w:rsidP="00AF71A8">
      <w:pPr>
        <w:pStyle w:val="Textonotapie"/>
        <w:rPr>
          <w:sz w:val="12"/>
          <w:szCs w:val="12"/>
          <w:lang w:val="en-US"/>
        </w:rPr>
      </w:pPr>
      <w:r w:rsidRPr="00AF71A8">
        <w:rPr>
          <w:rStyle w:val="Refdenotaalpie"/>
          <w:sz w:val="12"/>
          <w:szCs w:val="12"/>
        </w:rPr>
        <w:footnoteRef/>
      </w:r>
      <w:r w:rsidRPr="00AF71A8">
        <w:rPr>
          <w:sz w:val="12"/>
          <w:szCs w:val="12"/>
          <w:lang w:val="en-US"/>
        </w:rPr>
        <w:t xml:space="preserve"> </w:t>
      </w:r>
      <w:proofErr w:type="spellStart"/>
      <w:r w:rsidRPr="00AF71A8">
        <w:rPr>
          <w:rFonts w:ascii="Calibri" w:hAnsi="Calibri" w:cs="Calibri"/>
          <w:color w:val="000000"/>
          <w:sz w:val="12"/>
          <w:szCs w:val="12"/>
          <w:lang w:val="en-US"/>
        </w:rPr>
        <w:t>Lexchin</w:t>
      </w:r>
      <w:proofErr w:type="spellEnd"/>
      <w:r w:rsidRPr="00AF71A8">
        <w:rPr>
          <w:rFonts w:ascii="Calibri" w:hAnsi="Calibri" w:cs="Calibri"/>
          <w:color w:val="000000"/>
          <w:sz w:val="12"/>
          <w:szCs w:val="12"/>
          <w:lang w:val="en-US"/>
        </w:rPr>
        <w:t xml:space="preserve"> J, </w:t>
      </w:r>
      <w:proofErr w:type="spellStart"/>
      <w:r w:rsidRPr="00AF71A8">
        <w:rPr>
          <w:rFonts w:ascii="Calibri" w:hAnsi="Calibri" w:cs="Calibri"/>
          <w:color w:val="000000"/>
          <w:sz w:val="12"/>
          <w:szCs w:val="12"/>
          <w:lang w:val="en-US"/>
        </w:rPr>
        <w:t>Bero</w:t>
      </w:r>
      <w:proofErr w:type="spellEnd"/>
      <w:r w:rsidRPr="00AF71A8">
        <w:rPr>
          <w:rFonts w:ascii="Calibri" w:hAnsi="Calibri" w:cs="Calibri"/>
          <w:color w:val="000000"/>
          <w:sz w:val="12"/>
          <w:szCs w:val="12"/>
          <w:lang w:val="en-US"/>
        </w:rPr>
        <w:t xml:space="preserve"> LA, </w:t>
      </w:r>
      <w:proofErr w:type="spellStart"/>
      <w:r w:rsidRPr="00AF71A8">
        <w:rPr>
          <w:rFonts w:ascii="Calibri" w:hAnsi="Calibri" w:cs="Calibri"/>
          <w:color w:val="000000"/>
          <w:sz w:val="12"/>
          <w:szCs w:val="12"/>
          <w:lang w:val="en-US"/>
        </w:rPr>
        <w:t>Djulbegovic</w:t>
      </w:r>
      <w:proofErr w:type="spellEnd"/>
      <w:r w:rsidRPr="00AF71A8">
        <w:rPr>
          <w:rFonts w:ascii="Calibri" w:hAnsi="Calibri" w:cs="Calibri"/>
          <w:color w:val="000000"/>
          <w:sz w:val="12"/>
          <w:szCs w:val="12"/>
          <w:lang w:val="en-US"/>
        </w:rPr>
        <w:t xml:space="preserve"> B, Clark O. Pharmaceutical industry sponsorship and research outcome and quality: systematic review. BMJ 2003</w:t>
      </w:r>
      <w:proofErr w:type="gramStart"/>
      <w:r w:rsidRPr="00AF71A8">
        <w:rPr>
          <w:rFonts w:ascii="Calibri" w:hAnsi="Calibri" w:cs="Calibri"/>
          <w:color w:val="000000"/>
          <w:sz w:val="12"/>
          <w:szCs w:val="12"/>
          <w:lang w:val="en-US"/>
        </w:rPr>
        <w:t>;326</w:t>
      </w:r>
      <w:proofErr w:type="gramEnd"/>
      <w:r w:rsidRPr="00AF71A8">
        <w:rPr>
          <w:rFonts w:ascii="Calibri" w:hAnsi="Calibri" w:cs="Calibri"/>
          <w:color w:val="000000"/>
          <w:sz w:val="12"/>
          <w:szCs w:val="12"/>
          <w:lang w:val="en-US"/>
        </w:rPr>
        <w:t>: 1167-70.</w:t>
      </w:r>
    </w:p>
  </w:footnote>
  <w:footnote w:id="46">
    <w:p w:rsidR="00AF71A8" w:rsidRPr="007353F2" w:rsidRDefault="00AF71A8" w:rsidP="00AF71A8">
      <w:pPr>
        <w:pStyle w:val="Textonotapie"/>
        <w:rPr>
          <w:sz w:val="12"/>
          <w:szCs w:val="12"/>
          <w:lang w:val="en-US"/>
        </w:rPr>
      </w:pPr>
      <w:r w:rsidRPr="00AF71A8">
        <w:rPr>
          <w:rStyle w:val="Refdenotaalpie"/>
          <w:sz w:val="12"/>
          <w:szCs w:val="12"/>
        </w:rPr>
        <w:footnoteRef/>
      </w:r>
      <w:r w:rsidRPr="00AF71A8">
        <w:rPr>
          <w:sz w:val="12"/>
          <w:szCs w:val="12"/>
          <w:lang w:val="en-US"/>
        </w:rPr>
        <w:t xml:space="preserve"> </w:t>
      </w:r>
      <w:proofErr w:type="spellStart"/>
      <w:r w:rsidRPr="00AF71A8">
        <w:rPr>
          <w:rFonts w:ascii="Calibri" w:hAnsi="Calibri" w:cs="Calibri"/>
          <w:color w:val="000000"/>
          <w:sz w:val="12"/>
          <w:szCs w:val="12"/>
          <w:lang w:val="en-US"/>
        </w:rPr>
        <w:t>Lenzer</w:t>
      </w:r>
      <w:proofErr w:type="spellEnd"/>
      <w:r w:rsidRPr="00AF71A8">
        <w:rPr>
          <w:rFonts w:ascii="Calibri" w:hAnsi="Calibri" w:cs="Calibri"/>
          <w:color w:val="000000"/>
          <w:sz w:val="12"/>
          <w:szCs w:val="12"/>
          <w:lang w:val="en-US"/>
        </w:rPr>
        <w:t xml:space="preserve"> J. </w:t>
      </w:r>
      <w:proofErr w:type="spellStart"/>
      <w:r w:rsidRPr="00AF71A8">
        <w:rPr>
          <w:rFonts w:ascii="Calibri" w:hAnsi="Calibri" w:cs="Calibri"/>
          <w:color w:val="000000"/>
          <w:sz w:val="12"/>
          <w:szCs w:val="12"/>
          <w:lang w:val="en-US"/>
        </w:rPr>
        <w:t>Alteplase</w:t>
      </w:r>
      <w:proofErr w:type="spellEnd"/>
      <w:r w:rsidRPr="00AF71A8">
        <w:rPr>
          <w:rFonts w:ascii="Calibri" w:hAnsi="Calibri" w:cs="Calibri"/>
          <w:color w:val="000000"/>
          <w:sz w:val="12"/>
          <w:szCs w:val="12"/>
          <w:lang w:val="en-US"/>
        </w:rPr>
        <w:t xml:space="preserve"> for stroke: money and optimistic claims buttress the "brain attack" campaign. </w:t>
      </w:r>
      <w:proofErr w:type="gramStart"/>
      <w:r w:rsidRPr="00AF71A8">
        <w:rPr>
          <w:rFonts w:ascii="Calibri" w:hAnsi="Calibri" w:cs="Calibri"/>
          <w:color w:val="000000"/>
          <w:sz w:val="12"/>
          <w:szCs w:val="12"/>
          <w:lang w:val="en-US"/>
        </w:rPr>
        <w:t>BMJ.</w:t>
      </w:r>
      <w:proofErr w:type="gramEnd"/>
      <w:r w:rsidRPr="00AF71A8">
        <w:rPr>
          <w:rFonts w:ascii="Calibri" w:hAnsi="Calibri" w:cs="Calibri"/>
          <w:color w:val="000000"/>
          <w:sz w:val="12"/>
          <w:szCs w:val="12"/>
          <w:lang w:val="en-US"/>
        </w:rPr>
        <w:t xml:space="preserve"> 2002 Mar 23; 324(7339):723-9.</w:t>
      </w:r>
    </w:p>
  </w:footnote>
  <w:footnote w:id="47">
    <w:p w:rsidR="00AF71A8" w:rsidRPr="007353F2" w:rsidRDefault="00AF71A8" w:rsidP="00AF71A8">
      <w:pPr>
        <w:pStyle w:val="Textonotapie"/>
        <w:rPr>
          <w:sz w:val="12"/>
          <w:szCs w:val="12"/>
          <w:lang w:val="en-US"/>
        </w:rPr>
      </w:pPr>
      <w:r w:rsidRPr="00AF71A8">
        <w:rPr>
          <w:rStyle w:val="Refdenotaalpie"/>
          <w:sz w:val="12"/>
          <w:szCs w:val="12"/>
        </w:rPr>
        <w:footnoteRef/>
      </w:r>
      <w:r w:rsidRPr="00AF71A8">
        <w:rPr>
          <w:sz w:val="12"/>
          <w:szCs w:val="12"/>
          <w:lang w:val="en-US"/>
        </w:rPr>
        <w:t xml:space="preserve"> </w:t>
      </w:r>
      <w:proofErr w:type="spellStart"/>
      <w:r w:rsidRPr="00AF71A8">
        <w:rPr>
          <w:rFonts w:ascii="Calibri" w:hAnsi="Calibri" w:cs="Calibri"/>
          <w:color w:val="000000"/>
          <w:sz w:val="12"/>
          <w:szCs w:val="12"/>
          <w:lang w:val="en-US"/>
        </w:rPr>
        <w:t>Wazana</w:t>
      </w:r>
      <w:proofErr w:type="spellEnd"/>
      <w:r w:rsidRPr="00AF71A8">
        <w:rPr>
          <w:rFonts w:ascii="Calibri" w:hAnsi="Calibri" w:cs="Calibri"/>
          <w:color w:val="000000"/>
          <w:sz w:val="12"/>
          <w:szCs w:val="12"/>
          <w:lang w:val="en-US"/>
        </w:rPr>
        <w:t xml:space="preserve"> A. Physicians and the pharmaceutical industry: is a gift ever just a gift? </w:t>
      </w:r>
      <w:proofErr w:type="gramStart"/>
      <w:r w:rsidRPr="00AF71A8">
        <w:rPr>
          <w:rFonts w:ascii="Calibri" w:hAnsi="Calibri" w:cs="Calibri"/>
          <w:color w:val="000000"/>
          <w:sz w:val="12"/>
          <w:szCs w:val="12"/>
          <w:lang w:val="en-US"/>
        </w:rPr>
        <w:t>JAMA.</w:t>
      </w:r>
      <w:proofErr w:type="gramEnd"/>
      <w:r w:rsidRPr="00AF71A8">
        <w:rPr>
          <w:rFonts w:ascii="Calibri" w:hAnsi="Calibri" w:cs="Calibri"/>
          <w:color w:val="000000"/>
          <w:sz w:val="12"/>
          <w:szCs w:val="12"/>
          <w:lang w:val="en-US"/>
        </w:rPr>
        <w:t xml:space="preserve"> 2000 Jan 19; 283(3):373-80.</w:t>
      </w:r>
    </w:p>
  </w:footnote>
  <w:footnote w:id="48">
    <w:p w:rsidR="00AF71A8" w:rsidRPr="00AF71A8" w:rsidRDefault="00AF71A8" w:rsidP="00AF71A8">
      <w:pPr>
        <w:autoSpaceDE w:val="0"/>
        <w:autoSpaceDN w:val="0"/>
        <w:adjustRightInd w:val="0"/>
        <w:spacing w:after="0" w:line="240" w:lineRule="auto"/>
        <w:jc w:val="both"/>
        <w:rPr>
          <w:rFonts w:ascii="Calibri" w:hAnsi="Calibri" w:cs="Calibri"/>
          <w:color w:val="000000"/>
          <w:sz w:val="12"/>
          <w:szCs w:val="12"/>
          <w:lang w:val="en-US"/>
        </w:rPr>
      </w:pPr>
      <w:r w:rsidRPr="00AF71A8">
        <w:rPr>
          <w:rStyle w:val="Refdenotaalpie"/>
          <w:sz w:val="12"/>
          <w:szCs w:val="12"/>
        </w:rPr>
        <w:footnoteRef/>
      </w:r>
      <w:r w:rsidRPr="00AF71A8">
        <w:rPr>
          <w:sz w:val="12"/>
          <w:szCs w:val="12"/>
          <w:lang w:val="en-US"/>
        </w:rPr>
        <w:t xml:space="preserve"> </w:t>
      </w:r>
      <w:r w:rsidRPr="00AF71A8">
        <w:rPr>
          <w:rFonts w:ascii="Calibri" w:hAnsi="Calibri" w:cs="Calibri"/>
          <w:color w:val="000000"/>
          <w:sz w:val="12"/>
          <w:szCs w:val="12"/>
          <w:lang w:val="en-US"/>
        </w:rPr>
        <w:t xml:space="preserve">Of principles and pens: attitudes and practices of medicine </w:t>
      </w:r>
      <w:proofErr w:type="spellStart"/>
      <w:r w:rsidRPr="00AF71A8">
        <w:rPr>
          <w:rFonts w:ascii="Calibri" w:hAnsi="Calibri" w:cs="Calibri"/>
          <w:color w:val="000000"/>
          <w:sz w:val="12"/>
          <w:szCs w:val="12"/>
          <w:lang w:val="en-US"/>
        </w:rPr>
        <w:t>housestaff</w:t>
      </w:r>
      <w:proofErr w:type="spellEnd"/>
      <w:r w:rsidRPr="00AF71A8">
        <w:rPr>
          <w:rFonts w:ascii="Calibri" w:hAnsi="Calibri" w:cs="Calibri"/>
          <w:color w:val="000000"/>
          <w:sz w:val="12"/>
          <w:szCs w:val="12"/>
          <w:lang w:val="en-US"/>
        </w:rPr>
        <w:t xml:space="preserve"> toward pharmaceutical industry promotions. </w:t>
      </w:r>
    </w:p>
    <w:p w:rsidR="00AF71A8" w:rsidRPr="00AF71A8" w:rsidRDefault="00AF71A8" w:rsidP="00AF71A8">
      <w:pPr>
        <w:autoSpaceDE w:val="0"/>
        <w:autoSpaceDN w:val="0"/>
        <w:adjustRightInd w:val="0"/>
        <w:spacing w:after="0" w:line="240" w:lineRule="auto"/>
        <w:jc w:val="both"/>
        <w:rPr>
          <w:rFonts w:ascii="Segoe UI Emoji" w:hAnsi="Segoe UI Emoji" w:cs="Segoe UI Emoji"/>
          <w:color w:val="000000"/>
          <w:sz w:val="12"/>
          <w:szCs w:val="12"/>
          <w:lang w:val="en-US"/>
        </w:rPr>
      </w:pPr>
      <w:r w:rsidRPr="00AF71A8">
        <w:rPr>
          <w:rFonts w:ascii="Calibri" w:hAnsi="Calibri" w:cs="Calibri"/>
          <w:color w:val="000000"/>
          <w:sz w:val="12"/>
          <w:szCs w:val="12"/>
          <w:lang w:val="en-US"/>
        </w:rPr>
        <w:t xml:space="preserve">Steinman MA, </w:t>
      </w:r>
      <w:proofErr w:type="spellStart"/>
      <w:r w:rsidRPr="00AF71A8">
        <w:rPr>
          <w:rFonts w:ascii="Calibri" w:hAnsi="Calibri" w:cs="Calibri"/>
          <w:color w:val="000000"/>
          <w:sz w:val="12"/>
          <w:szCs w:val="12"/>
          <w:lang w:val="en-US"/>
        </w:rPr>
        <w:t>Shlipak</w:t>
      </w:r>
      <w:proofErr w:type="spellEnd"/>
      <w:r w:rsidRPr="00AF71A8">
        <w:rPr>
          <w:rFonts w:ascii="Calibri" w:hAnsi="Calibri" w:cs="Calibri"/>
          <w:color w:val="000000"/>
          <w:sz w:val="12"/>
          <w:szCs w:val="12"/>
          <w:lang w:val="en-US"/>
        </w:rPr>
        <w:t xml:space="preserve"> MG, McPhee SJ. </w:t>
      </w:r>
      <w:r w:rsidRPr="00AF71A8">
        <w:rPr>
          <w:rFonts w:ascii="Calibri" w:hAnsi="Calibri" w:cs="Calibri"/>
          <w:i/>
          <w:iCs/>
          <w:color w:val="000000"/>
          <w:sz w:val="12"/>
          <w:szCs w:val="12"/>
          <w:lang w:val="en-US"/>
        </w:rPr>
        <w:t xml:space="preserve">Am J Med. 2001 May; 110(7):551-7. </w:t>
      </w:r>
    </w:p>
  </w:footnote>
  <w:footnote w:id="49">
    <w:p w:rsidR="00AF71A8" w:rsidRPr="00EA3DD1" w:rsidRDefault="00AF71A8" w:rsidP="00EA3DD1">
      <w:pPr>
        <w:autoSpaceDE w:val="0"/>
        <w:autoSpaceDN w:val="0"/>
        <w:adjustRightInd w:val="0"/>
        <w:spacing w:after="0" w:line="240" w:lineRule="auto"/>
        <w:jc w:val="both"/>
        <w:rPr>
          <w:rFonts w:ascii="Segoe UI Emoji" w:hAnsi="Segoe UI Emoji" w:cs="Segoe UI Emoji"/>
          <w:color w:val="000000"/>
          <w:sz w:val="12"/>
          <w:szCs w:val="12"/>
          <w:lang w:val="en-US"/>
        </w:rPr>
      </w:pPr>
      <w:r w:rsidRPr="00AF71A8">
        <w:rPr>
          <w:rStyle w:val="Refdenotaalpie"/>
          <w:sz w:val="12"/>
          <w:szCs w:val="12"/>
        </w:rPr>
        <w:footnoteRef/>
      </w:r>
      <w:r w:rsidRPr="00AF71A8">
        <w:rPr>
          <w:sz w:val="12"/>
          <w:szCs w:val="12"/>
          <w:lang w:val="en-US"/>
        </w:rPr>
        <w:t xml:space="preserve"> </w:t>
      </w:r>
      <w:proofErr w:type="gramStart"/>
      <w:r w:rsidRPr="00AF71A8">
        <w:rPr>
          <w:rFonts w:ascii="Calibri" w:hAnsi="Calibri" w:cs="Calibri"/>
          <w:color w:val="000000"/>
          <w:sz w:val="12"/>
          <w:szCs w:val="12"/>
          <w:lang w:val="en-US"/>
        </w:rPr>
        <w:t>Parliamentary Assembly.</w:t>
      </w:r>
      <w:proofErr w:type="gramEnd"/>
      <w:r w:rsidRPr="00AF71A8">
        <w:rPr>
          <w:rFonts w:ascii="Calibri" w:hAnsi="Calibri" w:cs="Calibri"/>
          <w:color w:val="000000"/>
          <w:sz w:val="12"/>
          <w:szCs w:val="12"/>
          <w:lang w:val="en-US"/>
        </w:rPr>
        <w:t xml:space="preserve"> Report of the Committee on Social Affairs, Health and Sustainable Development, rapporteur: </w:t>
      </w:r>
      <w:proofErr w:type="spellStart"/>
      <w:r w:rsidRPr="00AF71A8">
        <w:rPr>
          <w:rFonts w:ascii="Calibri" w:hAnsi="Calibri" w:cs="Calibri"/>
          <w:color w:val="000000"/>
          <w:sz w:val="12"/>
          <w:szCs w:val="12"/>
          <w:lang w:val="en-US"/>
        </w:rPr>
        <w:t>Ms</w:t>
      </w:r>
      <w:proofErr w:type="spellEnd"/>
      <w:r w:rsidRPr="00AF71A8">
        <w:rPr>
          <w:rFonts w:ascii="Calibri" w:hAnsi="Calibri" w:cs="Calibri"/>
          <w:color w:val="000000"/>
          <w:sz w:val="12"/>
          <w:szCs w:val="12"/>
          <w:lang w:val="en-US"/>
        </w:rPr>
        <w:t xml:space="preserve"> </w:t>
      </w:r>
      <w:proofErr w:type="spellStart"/>
      <w:r w:rsidRPr="00AF71A8">
        <w:rPr>
          <w:rFonts w:ascii="Calibri" w:hAnsi="Calibri" w:cs="Calibri"/>
          <w:color w:val="000000"/>
          <w:sz w:val="12"/>
          <w:szCs w:val="12"/>
          <w:lang w:val="en-US"/>
        </w:rPr>
        <w:t>Liliane</w:t>
      </w:r>
      <w:proofErr w:type="spellEnd"/>
      <w:r w:rsidRPr="00AF71A8">
        <w:rPr>
          <w:rFonts w:ascii="Calibri" w:hAnsi="Calibri" w:cs="Calibri"/>
          <w:color w:val="000000"/>
          <w:sz w:val="12"/>
          <w:szCs w:val="12"/>
          <w:lang w:val="en-US"/>
        </w:rPr>
        <w:t xml:space="preserve"> Maury </w:t>
      </w:r>
      <w:proofErr w:type="spellStart"/>
      <w:r w:rsidRPr="00AF71A8">
        <w:rPr>
          <w:rFonts w:ascii="Calibri" w:hAnsi="Calibri" w:cs="Calibri"/>
          <w:color w:val="000000"/>
          <w:sz w:val="12"/>
          <w:szCs w:val="12"/>
          <w:lang w:val="en-US"/>
        </w:rPr>
        <w:t>Pasquier</w:t>
      </w:r>
      <w:proofErr w:type="spellEnd"/>
      <w:r w:rsidRPr="00AF71A8">
        <w:rPr>
          <w:rFonts w:ascii="Calibri" w:hAnsi="Calibri" w:cs="Calibri"/>
          <w:color w:val="000000"/>
          <w:sz w:val="12"/>
          <w:szCs w:val="12"/>
          <w:lang w:val="en-US"/>
        </w:rPr>
        <w:t xml:space="preserve">. </w:t>
      </w:r>
      <w:r w:rsidRPr="00AF71A8">
        <w:rPr>
          <w:rFonts w:ascii="Calibri" w:hAnsi="Calibri" w:cs="Calibri"/>
          <w:i/>
          <w:iCs/>
          <w:color w:val="000000"/>
          <w:sz w:val="12"/>
          <w:szCs w:val="12"/>
          <w:lang w:val="en-US"/>
        </w:rPr>
        <w:t xml:space="preserve">Text adopted by the Assembly </w:t>
      </w:r>
      <w:r w:rsidRPr="00AF71A8">
        <w:rPr>
          <w:rFonts w:ascii="Calibri" w:hAnsi="Calibri" w:cs="Calibri"/>
          <w:color w:val="000000"/>
          <w:sz w:val="12"/>
          <w:szCs w:val="12"/>
          <w:lang w:val="en-US"/>
        </w:rPr>
        <w:t xml:space="preserve">on 29 September 2015 (30th Sitting). Resolution 2071 (2015) http://assembly.coe.int/nw/xml/XRef/Xref-XML2HTML-en.asp?fileid=22154&amp;lang=en </w:t>
      </w:r>
    </w:p>
  </w:footnote>
  <w:footnote w:id="50">
    <w:p w:rsidR="00EA3DD1" w:rsidRPr="00EA3DD1" w:rsidRDefault="00EA3DD1" w:rsidP="00EA3DD1">
      <w:pPr>
        <w:autoSpaceDE w:val="0"/>
        <w:autoSpaceDN w:val="0"/>
        <w:adjustRightInd w:val="0"/>
        <w:spacing w:after="0" w:line="240" w:lineRule="auto"/>
        <w:jc w:val="both"/>
        <w:rPr>
          <w:rFonts w:ascii="Calibri" w:hAnsi="Calibri" w:cs="Calibri"/>
          <w:color w:val="000000"/>
          <w:sz w:val="12"/>
          <w:szCs w:val="12"/>
        </w:rPr>
      </w:pPr>
      <w:r w:rsidRPr="00EA3DD1">
        <w:rPr>
          <w:rStyle w:val="Refdenotaalpie"/>
          <w:sz w:val="12"/>
          <w:szCs w:val="12"/>
        </w:rPr>
        <w:footnoteRef/>
      </w:r>
      <w:r w:rsidRPr="00EA3DD1">
        <w:rPr>
          <w:sz w:val="12"/>
          <w:szCs w:val="12"/>
        </w:rPr>
        <w:t xml:space="preserve"> </w:t>
      </w:r>
      <w:r w:rsidRPr="00EA3DD1">
        <w:rPr>
          <w:rFonts w:ascii="Calibri" w:hAnsi="Calibri" w:cs="Calibri"/>
          <w:color w:val="000000"/>
          <w:sz w:val="12"/>
          <w:szCs w:val="12"/>
        </w:rPr>
        <w:t xml:space="preserve">La cultura ciudadana: una pedagogía para la democracia, la civilidad, la seguridad, la comunicación y el disfrute1 Disponible en http://www.institutodeestudiosurbanos.info/dmdocuments/cendocieu/coleccion_digital/Cultura_Ciudadana/Cultura_Ciudadana_Pedagogia-Saenz_Javier.pdf Consulta 30/03/2018 ver también estrategias educativas para reducir el embarazo adolescente http://conexioncapital.co/embarazo-adolescente-bogota-disminuyo-1295/ </w:t>
      </w:r>
    </w:p>
    <w:p w:rsidR="00EA3DD1" w:rsidRDefault="00EA3DD1">
      <w:pPr>
        <w:pStyle w:val="Textonotapie"/>
      </w:pPr>
    </w:p>
  </w:footnote>
  <w:footnote w:id="51">
    <w:p w:rsidR="00EA3DD1" w:rsidRPr="00EA3DD1" w:rsidRDefault="00EA3DD1" w:rsidP="00EA3DD1">
      <w:pPr>
        <w:autoSpaceDE w:val="0"/>
        <w:autoSpaceDN w:val="0"/>
        <w:adjustRightInd w:val="0"/>
        <w:spacing w:after="0" w:line="240" w:lineRule="auto"/>
        <w:jc w:val="both"/>
        <w:rPr>
          <w:rFonts w:ascii="Calibri" w:hAnsi="Calibri" w:cs="Calibri"/>
          <w:color w:val="000000"/>
          <w:sz w:val="12"/>
          <w:szCs w:val="12"/>
          <w:lang w:val="en-US"/>
        </w:rPr>
      </w:pPr>
      <w:r w:rsidRPr="00EA3DD1">
        <w:rPr>
          <w:rStyle w:val="Refdenotaalpie"/>
          <w:sz w:val="12"/>
          <w:szCs w:val="12"/>
        </w:rPr>
        <w:footnoteRef/>
      </w:r>
      <w:r w:rsidRPr="00EA3DD1">
        <w:rPr>
          <w:sz w:val="12"/>
          <w:szCs w:val="12"/>
          <w:lang w:val="en-US"/>
        </w:rPr>
        <w:t xml:space="preserve"> </w:t>
      </w:r>
      <w:proofErr w:type="spellStart"/>
      <w:r w:rsidRPr="00EA3DD1">
        <w:rPr>
          <w:rFonts w:ascii="Calibri" w:hAnsi="Calibri" w:cs="Calibri"/>
          <w:color w:val="000000"/>
          <w:sz w:val="12"/>
          <w:szCs w:val="12"/>
          <w:lang w:val="en-US"/>
        </w:rPr>
        <w:t>Vogler</w:t>
      </w:r>
      <w:proofErr w:type="spellEnd"/>
      <w:r w:rsidRPr="00EA3DD1">
        <w:rPr>
          <w:rFonts w:ascii="Calibri" w:hAnsi="Calibri" w:cs="Calibri"/>
          <w:color w:val="000000"/>
          <w:sz w:val="12"/>
          <w:szCs w:val="12"/>
          <w:lang w:val="en-US"/>
        </w:rPr>
        <w:t xml:space="preserve"> S, </w:t>
      </w:r>
      <w:proofErr w:type="spellStart"/>
      <w:r w:rsidRPr="00EA3DD1">
        <w:rPr>
          <w:rFonts w:ascii="Calibri" w:hAnsi="Calibri" w:cs="Calibri"/>
          <w:color w:val="000000"/>
          <w:sz w:val="12"/>
          <w:szCs w:val="12"/>
          <w:lang w:val="en-US"/>
        </w:rPr>
        <w:t>Schmickl</w:t>
      </w:r>
      <w:proofErr w:type="spellEnd"/>
      <w:r w:rsidRPr="00EA3DD1">
        <w:rPr>
          <w:rFonts w:ascii="Calibri" w:hAnsi="Calibri" w:cs="Calibri"/>
          <w:color w:val="000000"/>
          <w:sz w:val="12"/>
          <w:szCs w:val="12"/>
          <w:lang w:val="en-US"/>
        </w:rPr>
        <w:t xml:space="preserve"> B. Rationale use of medicine in Europe. Executive summary Austria: </w:t>
      </w:r>
      <w:proofErr w:type="spellStart"/>
      <w:r w:rsidRPr="00EA3DD1">
        <w:rPr>
          <w:rFonts w:ascii="Calibri" w:hAnsi="Calibri" w:cs="Calibri"/>
          <w:color w:val="000000"/>
          <w:sz w:val="12"/>
          <w:szCs w:val="12"/>
          <w:lang w:val="en-US"/>
        </w:rPr>
        <w:t>Gesundheit</w:t>
      </w:r>
      <w:proofErr w:type="spellEnd"/>
      <w:r w:rsidRPr="00EA3DD1">
        <w:rPr>
          <w:rFonts w:ascii="Calibri" w:hAnsi="Calibri" w:cs="Calibri"/>
          <w:color w:val="000000"/>
          <w:sz w:val="12"/>
          <w:szCs w:val="12"/>
          <w:lang w:val="en-US"/>
        </w:rPr>
        <w:t xml:space="preserve"> </w:t>
      </w:r>
      <w:proofErr w:type="spellStart"/>
      <w:r w:rsidRPr="00EA3DD1">
        <w:rPr>
          <w:rFonts w:ascii="Calibri" w:hAnsi="Calibri" w:cs="Calibri"/>
          <w:color w:val="000000"/>
          <w:sz w:val="12"/>
          <w:szCs w:val="12"/>
          <w:lang w:val="en-US"/>
        </w:rPr>
        <w:t>Österreich</w:t>
      </w:r>
      <w:proofErr w:type="spellEnd"/>
      <w:r w:rsidRPr="00EA3DD1">
        <w:rPr>
          <w:rFonts w:ascii="Calibri" w:hAnsi="Calibri" w:cs="Calibri"/>
          <w:color w:val="000000"/>
          <w:sz w:val="12"/>
          <w:szCs w:val="12"/>
          <w:lang w:val="en-US"/>
        </w:rPr>
        <w:t xml:space="preserve"> GmbH; 2010 </w:t>
      </w:r>
      <w:proofErr w:type="spellStart"/>
      <w:r w:rsidRPr="00EA3DD1">
        <w:rPr>
          <w:rFonts w:ascii="Calibri" w:hAnsi="Calibri" w:cs="Calibri"/>
          <w:color w:val="000000"/>
          <w:sz w:val="12"/>
          <w:szCs w:val="12"/>
          <w:lang w:val="en-US"/>
        </w:rPr>
        <w:t>Disponible</w:t>
      </w:r>
      <w:proofErr w:type="spellEnd"/>
      <w:r w:rsidRPr="00EA3DD1">
        <w:rPr>
          <w:rFonts w:ascii="Calibri" w:hAnsi="Calibri" w:cs="Calibri"/>
          <w:color w:val="000000"/>
          <w:sz w:val="12"/>
          <w:szCs w:val="12"/>
          <w:lang w:val="en-US"/>
        </w:rPr>
        <w:t xml:space="preserve"> en http://apps.who.int/medicinedocs/documents/s17135e/s17135e.pdf. </w:t>
      </w:r>
    </w:p>
    <w:p w:rsidR="00EA3DD1" w:rsidRPr="00CB5B55" w:rsidRDefault="00EA3DD1" w:rsidP="00CB5B55">
      <w:pPr>
        <w:autoSpaceDE w:val="0"/>
        <w:autoSpaceDN w:val="0"/>
        <w:adjustRightInd w:val="0"/>
        <w:spacing w:after="0" w:line="240" w:lineRule="auto"/>
        <w:jc w:val="both"/>
        <w:rPr>
          <w:rFonts w:ascii="Segoe UI Emoji" w:hAnsi="Segoe UI Emoji" w:cs="Segoe UI Emoji"/>
          <w:color w:val="000000"/>
          <w:sz w:val="12"/>
          <w:szCs w:val="12"/>
          <w:lang w:val="en-US"/>
        </w:rPr>
      </w:pPr>
      <w:r w:rsidRPr="00EA3DD1">
        <w:rPr>
          <w:rFonts w:ascii="Calibri" w:hAnsi="Calibri" w:cs="Calibri"/>
          <w:color w:val="000000"/>
          <w:sz w:val="12"/>
          <w:szCs w:val="12"/>
        </w:rPr>
        <w:t xml:space="preserve">Otras fuentes sobre el efecto de estas medidas en </w:t>
      </w:r>
      <w:proofErr w:type="spellStart"/>
      <w:r w:rsidRPr="00EA3DD1">
        <w:rPr>
          <w:rFonts w:ascii="Calibri" w:hAnsi="Calibri" w:cs="Calibri"/>
          <w:color w:val="000000"/>
          <w:sz w:val="12"/>
          <w:szCs w:val="12"/>
        </w:rPr>
        <w:t>Rashidian</w:t>
      </w:r>
      <w:proofErr w:type="spellEnd"/>
      <w:r w:rsidRPr="00EA3DD1">
        <w:rPr>
          <w:rFonts w:ascii="Calibri" w:hAnsi="Calibri" w:cs="Calibri"/>
          <w:color w:val="000000"/>
          <w:sz w:val="12"/>
          <w:szCs w:val="12"/>
        </w:rPr>
        <w:t xml:space="preserve"> A, </w:t>
      </w:r>
      <w:proofErr w:type="spellStart"/>
      <w:r w:rsidRPr="00EA3DD1">
        <w:rPr>
          <w:rFonts w:ascii="Calibri" w:hAnsi="Calibri" w:cs="Calibri"/>
          <w:color w:val="000000"/>
          <w:sz w:val="12"/>
          <w:szCs w:val="12"/>
        </w:rPr>
        <w:t>Omidvari</w:t>
      </w:r>
      <w:proofErr w:type="spellEnd"/>
      <w:r w:rsidRPr="00EA3DD1">
        <w:rPr>
          <w:rFonts w:ascii="Calibri" w:hAnsi="Calibri" w:cs="Calibri"/>
          <w:color w:val="000000"/>
          <w:sz w:val="12"/>
          <w:szCs w:val="12"/>
        </w:rPr>
        <w:t xml:space="preserve"> AH, </w:t>
      </w:r>
      <w:proofErr w:type="spellStart"/>
      <w:r w:rsidRPr="00EA3DD1">
        <w:rPr>
          <w:rFonts w:ascii="Calibri" w:hAnsi="Calibri" w:cs="Calibri"/>
          <w:color w:val="000000"/>
          <w:sz w:val="12"/>
          <w:szCs w:val="12"/>
        </w:rPr>
        <w:t>Vali</w:t>
      </w:r>
      <w:proofErr w:type="spellEnd"/>
      <w:r w:rsidRPr="00EA3DD1">
        <w:rPr>
          <w:rFonts w:ascii="Calibri" w:hAnsi="Calibri" w:cs="Calibri"/>
          <w:color w:val="000000"/>
          <w:sz w:val="12"/>
          <w:szCs w:val="12"/>
        </w:rPr>
        <w:t xml:space="preserve"> Y, </w:t>
      </w:r>
      <w:proofErr w:type="spellStart"/>
      <w:r w:rsidRPr="00EA3DD1">
        <w:rPr>
          <w:rFonts w:ascii="Calibri" w:hAnsi="Calibri" w:cs="Calibri"/>
          <w:color w:val="000000"/>
          <w:sz w:val="12"/>
          <w:szCs w:val="12"/>
        </w:rPr>
        <w:t>Sturm</w:t>
      </w:r>
      <w:proofErr w:type="spellEnd"/>
      <w:r w:rsidRPr="00EA3DD1">
        <w:rPr>
          <w:rFonts w:ascii="Calibri" w:hAnsi="Calibri" w:cs="Calibri"/>
          <w:color w:val="000000"/>
          <w:sz w:val="12"/>
          <w:szCs w:val="12"/>
        </w:rPr>
        <w:t xml:space="preserve"> H, </w:t>
      </w:r>
      <w:proofErr w:type="spellStart"/>
      <w:r w:rsidRPr="00EA3DD1">
        <w:rPr>
          <w:rFonts w:ascii="Calibri" w:hAnsi="Calibri" w:cs="Calibri"/>
          <w:color w:val="000000"/>
          <w:sz w:val="12"/>
          <w:szCs w:val="12"/>
        </w:rPr>
        <w:t>Oxman</w:t>
      </w:r>
      <w:proofErr w:type="spellEnd"/>
      <w:r w:rsidRPr="00EA3DD1">
        <w:rPr>
          <w:rFonts w:ascii="Calibri" w:hAnsi="Calibri" w:cs="Calibri"/>
          <w:color w:val="000000"/>
          <w:sz w:val="12"/>
          <w:szCs w:val="12"/>
        </w:rPr>
        <w:t xml:space="preserve"> AD. </w:t>
      </w:r>
      <w:r w:rsidRPr="00EA3DD1">
        <w:rPr>
          <w:rFonts w:ascii="Calibri" w:hAnsi="Calibri" w:cs="Calibri"/>
          <w:color w:val="000000"/>
          <w:sz w:val="12"/>
          <w:szCs w:val="12"/>
          <w:lang w:val="en-US"/>
        </w:rPr>
        <w:t xml:space="preserve">Pharmaceutical policies: effects of financial incentives for prescribers. Cochrane Database </w:t>
      </w:r>
      <w:proofErr w:type="spellStart"/>
      <w:r w:rsidRPr="00EA3DD1">
        <w:rPr>
          <w:rFonts w:ascii="Calibri" w:hAnsi="Calibri" w:cs="Calibri"/>
          <w:color w:val="000000"/>
          <w:sz w:val="12"/>
          <w:szCs w:val="12"/>
          <w:lang w:val="en-US"/>
        </w:rPr>
        <w:t>Syst</w:t>
      </w:r>
      <w:proofErr w:type="spellEnd"/>
      <w:r w:rsidRPr="00EA3DD1">
        <w:rPr>
          <w:rFonts w:ascii="Calibri" w:hAnsi="Calibri" w:cs="Calibri"/>
          <w:color w:val="000000"/>
          <w:sz w:val="12"/>
          <w:szCs w:val="12"/>
          <w:lang w:val="en-US"/>
        </w:rPr>
        <w:t xml:space="preserve"> Rev. 2015(8):Cd006731. </w:t>
      </w:r>
    </w:p>
  </w:footnote>
  <w:footnote w:id="52">
    <w:p w:rsidR="00CB5B55" w:rsidRDefault="00CB5B55" w:rsidP="00CB5B55">
      <w:pPr>
        <w:pStyle w:val="Textonotapie"/>
      </w:pPr>
      <w:r w:rsidRPr="00CB5B55">
        <w:rPr>
          <w:rStyle w:val="Refdenotaalpie"/>
          <w:sz w:val="12"/>
          <w:szCs w:val="12"/>
        </w:rPr>
        <w:footnoteRef/>
      </w:r>
      <w:r w:rsidRPr="00CB5B55">
        <w:rPr>
          <w:sz w:val="12"/>
          <w:szCs w:val="12"/>
        </w:rPr>
        <w:t xml:space="preserve"> </w:t>
      </w:r>
      <w:r w:rsidRPr="00CB5B55">
        <w:rPr>
          <w:rFonts w:ascii="Calibri" w:hAnsi="Calibri" w:cs="Calibri"/>
          <w:color w:val="000000"/>
          <w:sz w:val="12"/>
          <w:szCs w:val="12"/>
        </w:rPr>
        <w:t>Observatorio Colombiano de Ciencia y Tecnología. Indicadores de Ciencia y Tecnología en Colombia (2016). Disponible en http://ocyt.org.co/wp-content/uploads/2017/07/indicadores-2016_web.pdf Consulta 30/03/2018 Consulta 30/03/2018</w:t>
      </w:r>
    </w:p>
  </w:footnote>
  <w:footnote w:id="53">
    <w:p w:rsidR="00CB5B55" w:rsidRPr="00CB5B55" w:rsidRDefault="00CB5B55" w:rsidP="00CB5B55">
      <w:pPr>
        <w:autoSpaceDE w:val="0"/>
        <w:autoSpaceDN w:val="0"/>
        <w:adjustRightInd w:val="0"/>
        <w:spacing w:after="0" w:line="240" w:lineRule="auto"/>
        <w:jc w:val="both"/>
        <w:rPr>
          <w:rFonts w:ascii="Segoe UI Emoji" w:hAnsi="Segoe UI Emoji" w:cs="Segoe UI Emoji"/>
          <w:color w:val="000000"/>
          <w:sz w:val="12"/>
          <w:szCs w:val="12"/>
        </w:rPr>
      </w:pPr>
      <w:r w:rsidRPr="00CB5B55">
        <w:rPr>
          <w:rStyle w:val="Refdenotaalpie"/>
          <w:sz w:val="12"/>
          <w:szCs w:val="12"/>
        </w:rPr>
        <w:footnoteRef/>
      </w:r>
      <w:r w:rsidRPr="00CB5B55">
        <w:rPr>
          <w:sz w:val="12"/>
          <w:szCs w:val="12"/>
        </w:rPr>
        <w:t xml:space="preserve"> </w:t>
      </w:r>
      <w:r w:rsidRPr="00CB5B55">
        <w:rPr>
          <w:rFonts w:ascii="Calibri" w:hAnsi="Calibri" w:cs="Calibri"/>
          <w:color w:val="000000"/>
          <w:sz w:val="12"/>
          <w:szCs w:val="12"/>
        </w:rPr>
        <w:t xml:space="preserve">Informe del GRUPO DE ALTO NIVEL DEL SECRETARIO GENERAL DE LAS NACIONES UNIDAS SOBRE EL ACCESO A LOS MEDICAMENTOS: Promover la innovación y el acceso a las tecnologías de la salud. Disponible en https://static1.squarespace.com/static/562094dee4b0d00c1a3ef761/t/596feefb3e00be55b028a1a6/1500507901944/50923+-+HLP+Report_SPANISH-v5_web.pdf Consulta 30/03/2018 </w:t>
      </w:r>
    </w:p>
  </w:footnote>
  <w:footnote w:id="54">
    <w:p w:rsidR="00CB5B55" w:rsidRPr="00CB5B55" w:rsidRDefault="00CB5B55" w:rsidP="00CB5B55">
      <w:pPr>
        <w:autoSpaceDE w:val="0"/>
        <w:autoSpaceDN w:val="0"/>
        <w:adjustRightInd w:val="0"/>
        <w:spacing w:after="0" w:line="240" w:lineRule="auto"/>
        <w:jc w:val="both"/>
        <w:rPr>
          <w:rFonts w:ascii="Calibri" w:hAnsi="Calibri" w:cs="Calibri"/>
          <w:color w:val="000000"/>
          <w:sz w:val="12"/>
          <w:szCs w:val="12"/>
        </w:rPr>
      </w:pPr>
      <w:r w:rsidRPr="00CB5B55">
        <w:rPr>
          <w:rStyle w:val="Refdenotaalpie"/>
          <w:sz w:val="12"/>
          <w:szCs w:val="12"/>
        </w:rPr>
        <w:footnoteRef/>
      </w:r>
      <w:r w:rsidRPr="00CB5B55">
        <w:rPr>
          <w:sz w:val="12"/>
          <w:szCs w:val="12"/>
        </w:rPr>
        <w:t xml:space="preserve"> </w:t>
      </w:r>
      <w:r w:rsidRPr="00CB5B55">
        <w:rPr>
          <w:rFonts w:ascii="Calibri" w:hAnsi="Calibri" w:cs="Calibri"/>
          <w:color w:val="000000"/>
          <w:sz w:val="12"/>
          <w:szCs w:val="12"/>
        </w:rPr>
        <w:t xml:space="preserve">FUENTES: Cálculos propios, a partir de datos y estadísticas SIC-Superintendencia de Industria y Comercio www.sic.gov.co/estadisticas-propiedad-industrial y OMPI-Organización Mundial de la Propiedad </w:t>
      </w:r>
      <w:proofErr w:type="gramStart"/>
      <w:r w:rsidRPr="00CB5B55">
        <w:rPr>
          <w:rFonts w:ascii="Calibri" w:hAnsi="Calibri" w:cs="Calibri"/>
          <w:color w:val="000000"/>
          <w:sz w:val="12"/>
          <w:szCs w:val="12"/>
        </w:rPr>
        <w:t>Intelectual .</w:t>
      </w:r>
      <w:proofErr w:type="gramEnd"/>
      <w:r w:rsidRPr="00CB5B55">
        <w:rPr>
          <w:rFonts w:ascii="Calibri" w:hAnsi="Calibri" w:cs="Calibri"/>
          <w:color w:val="000000"/>
          <w:sz w:val="12"/>
          <w:szCs w:val="12"/>
        </w:rPr>
        <w:t xml:space="preserve"> http://www.wipo.int/ipstats/es/statistics/country_profile/profile.jsp?code=CO </w:t>
      </w:r>
    </w:p>
  </w:footnote>
  <w:footnote w:id="55">
    <w:p w:rsidR="00CB5B55" w:rsidRPr="00CB5B55" w:rsidRDefault="00CB5B55" w:rsidP="00CB5B55">
      <w:pPr>
        <w:pStyle w:val="Textonotapie"/>
        <w:rPr>
          <w:sz w:val="12"/>
          <w:szCs w:val="12"/>
        </w:rPr>
      </w:pPr>
      <w:r w:rsidRPr="00CB5B55">
        <w:rPr>
          <w:rStyle w:val="Refdenotaalpie"/>
          <w:sz w:val="12"/>
          <w:szCs w:val="12"/>
        </w:rPr>
        <w:footnoteRef/>
      </w:r>
      <w:r w:rsidRPr="00CB5B55">
        <w:rPr>
          <w:sz w:val="12"/>
          <w:szCs w:val="12"/>
        </w:rPr>
        <w:t xml:space="preserve"> </w:t>
      </w:r>
      <w:r w:rsidRPr="00CB5B55">
        <w:rPr>
          <w:rFonts w:ascii="Calibri" w:hAnsi="Calibri" w:cs="Calibri"/>
          <w:color w:val="000000"/>
          <w:sz w:val="12"/>
          <w:szCs w:val="12"/>
        </w:rPr>
        <w:t>Objetivos de Desarrollo Sostenible Objetivo 3: Garantizar una vida sana y promover el bienestar para todos en todas las edades. Disponible en http://onu.org.pe/ods-3/ Consulta</w:t>
      </w:r>
      <w:r>
        <w:rPr>
          <w:rFonts w:ascii="Calibri" w:hAnsi="Calibri" w:cs="Calibri"/>
          <w:color w:val="000000"/>
          <w:sz w:val="12"/>
          <w:szCs w:val="12"/>
        </w:rPr>
        <w:t xml:space="preserve"> 30/03/2018</w:t>
      </w:r>
    </w:p>
  </w:footnote>
  <w:footnote w:id="56">
    <w:p w:rsidR="00CB5B55" w:rsidRPr="006B0F79" w:rsidRDefault="00CB5B55" w:rsidP="006B0F79">
      <w:pPr>
        <w:pStyle w:val="Textonotapie"/>
        <w:rPr>
          <w:sz w:val="12"/>
          <w:szCs w:val="12"/>
        </w:rPr>
      </w:pPr>
      <w:r w:rsidRPr="00CB5B55">
        <w:rPr>
          <w:rStyle w:val="Refdenotaalpie"/>
          <w:sz w:val="12"/>
          <w:szCs w:val="12"/>
        </w:rPr>
        <w:footnoteRef/>
      </w:r>
      <w:r w:rsidRPr="00CB5B55">
        <w:rPr>
          <w:sz w:val="12"/>
          <w:szCs w:val="12"/>
        </w:rPr>
        <w:t xml:space="preserve">FUENTES: Cálculos propios, a partir de datos y estadísticas SIC-Superintendencia de Industria y Comercio www.sic.gov.co/estadisticas-propiedad-industrial y OMPI-Organización </w:t>
      </w:r>
      <w:r w:rsidRPr="006B0F79">
        <w:rPr>
          <w:sz w:val="12"/>
          <w:szCs w:val="12"/>
        </w:rPr>
        <w:t xml:space="preserve">Mundial de la Propiedad Intelectual. http://www.wipo.int/ipstats/es/statistics/country_profile/profile.jsp?code=CO última consulta marzo 30 de 2018.  </w:t>
      </w:r>
    </w:p>
  </w:footnote>
  <w:footnote w:id="57">
    <w:p w:rsidR="006B0F79" w:rsidRPr="006B0F79" w:rsidRDefault="006B0F79" w:rsidP="006B0F79">
      <w:pPr>
        <w:autoSpaceDE w:val="0"/>
        <w:autoSpaceDN w:val="0"/>
        <w:adjustRightInd w:val="0"/>
        <w:spacing w:after="0" w:line="240" w:lineRule="auto"/>
        <w:jc w:val="both"/>
        <w:rPr>
          <w:rFonts w:ascii="Segoe UI Emoji" w:hAnsi="Segoe UI Emoji" w:cs="Segoe UI Emoji"/>
          <w:color w:val="000000"/>
          <w:sz w:val="12"/>
          <w:szCs w:val="12"/>
        </w:rPr>
      </w:pPr>
      <w:r w:rsidRPr="006B0F79">
        <w:rPr>
          <w:rStyle w:val="Refdenotaalpie"/>
          <w:sz w:val="12"/>
          <w:szCs w:val="12"/>
        </w:rPr>
        <w:footnoteRef/>
      </w:r>
      <w:r w:rsidRPr="006B0F79">
        <w:rPr>
          <w:sz w:val="12"/>
          <w:szCs w:val="12"/>
        </w:rPr>
        <w:t xml:space="preserve"> </w:t>
      </w:r>
      <w:r w:rsidRPr="006B0F79">
        <w:rPr>
          <w:rFonts w:ascii="Calibri" w:hAnsi="Calibri" w:cs="Calibri"/>
          <w:color w:val="000000"/>
          <w:sz w:val="12"/>
          <w:szCs w:val="12"/>
        </w:rPr>
        <w:t xml:space="preserve">Ver también: </w:t>
      </w:r>
      <w:proofErr w:type="spellStart"/>
      <w:r w:rsidRPr="006B0F79">
        <w:rPr>
          <w:rFonts w:ascii="Calibri" w:hAnsi="Calibri" w:cs="Calibri"/>
          <w:color w:val="000000"/>
          <w:sz w:val="12"/>
          <w:szCs w:val="12"/>
        </w:rPr>
        <w:t>Lizarazo</w:t>
      </w:r>
      <w:proofErr w:type="spellEnd"/>
      <w:r w:rsidRPr="006B0F79">
        <w:rPr>
          <w:rFonts w:ascii="Calibri" w:hAnsi="Calibri" w:cs="Calibri"/>
          <w:color w:val="000000"/>
          <w:sz w:val="12"/>
          <w:szCs w:val="12"/>
        </w:rPr>
        <w:t xml:space="preserve">; Oscar, “Colombia, ¿demasiado flexible en patentes de invención?”, 9 de agosto de 2015, periódico de la Universidad Nacional de Colombia, </w:t>
      </w:r>
    </w:p>
    <w:p w:rsidR="006B0F79" w:rsidRPr="006B0F79" w:rsidRDefault="006B0F79" w:rsidP="006B0F79">
      <w:pPr>
        <w:autoSpaceDE w:val="0"/>
        <w:autoSpaceDN w:val="0"/>
        <w:adjustRightInd w:val="0"/>
        <w:spacing w:after="0" w:line="240" w:lineRule="auto"/>
        <w:rPr>
          <w:rFonts w:ascii="Calibri" w:hAnsi="Calibri" w:cs="Calibri"/>
          <w:color w:val="000000"/>
          <w:sz w:val="12"/>
          <w:szCs w:val="12"/>
          <w:lang w:val="en-US"/>
        </w:rPr>
      </w:pPr>
      <w:r w:rsidRPr="006B0F79">
        <w:rPr>
          <w:rFonts w:ascii="Calibri" w:hAnsi="Calibri" w:cs="Calibri"/>
          <w:color w:val="000000"/>
          <w:sz w:val="12"/>
          <w:szCs w:val="12"/>
          <w:lang w:val="en-US"/>
        </w:rPr>
        <w:t xml:space="preserve">Web: http://agenciadenoticias.unal.edu.co/detalle/article/colombia-demasiado-flexible-en-patentes-de-invencion-1.html PDF: https://www.researchgate.net/publication/283291694_Colombia_demasiado_flexible_en_patentes_de_invencion </w:t>
      </w:r>
    </w:p>
    <w:p w:rsidR="006B0F79" w:rsidRPr="006B0F79" w:rsidRDefault="006B0F79">
      <w:pPr>
        <w:pStyle w:val="Textonotapie"/>
        <w:rPr>
          <w:lang w:val="en-US"/>
        </w:rPr>
      </w:pPr>
    </w:p>
  </w:footnote>
  <w:footnote w:id="58">
    <w:p w:rsidR="006B0F79" w:rsidRPr="006B0F79" w:rsidRDefault="006B0F79" w:rsidP="00D018E4">
      <w:pPr>
        <w:autoSpaceDE w:val="0"/>
        <w:autoSpaceDN w:val="0"/>
        <w:adjustRightInd w:val="0"/>
        <w:spacing w:after="0" w:line="240" w:lineRule="auto"/>
        <w:rPr>
          <w:rFonts w:ascii="Calibri" w:hAnsi="Calibri" w:cs="Calibri"/>
          <w:color w:val="000000"/>
          <w:sz w:val="12"/>
          <w:szCs w:val="12"/>
          <w:lang w:val="en-US"/>
        </w:rPr>
      </w:pPr>
      <w:r w:rsidRPr="00D018E4">
        <w:rPr>
          <w:rStyle w:val="Refdenotaalpie"/>
          <w:sz w:val="12"/>
          <w:szCs w:val="12"/>
        </w:rPr>
        <w:footnoteRef/>
      </w:r>
      <w:r w:rsidRPr="00D018E4">
        <w:rPr>
          <w:sz w:val="12"/>
          <w:szCs w:val="12"/>
          <w:lang w:val="en-US"/>
        </w:rPr>
        <w:t xml:space="preserve"> </w:t>
      </w:r>
      <w:r w:rsidRPr="006B0F79">
        <w:rPr>
          <w:rFonts w:ascii="Calibri" w:hAnsi="Calibri" w:cs="Calibri"/>
          <w:color w:val="000000"/>
          <w:sz w:val="12"/>
          <w:szCs w:val="12"/>
          <w:lang w:val="en-US"/>
        </w:rPr>
        <w:t xml:space="preserve">Amy </w:t>
      </w:r>
      <w:proofErr w:type="spellStart"/>
      <w:r w:rsidRPr="006B0F79">
        <w:rPr>
          <w:rFonts w:ascii="Calibri" w:hAnsi="Calibri" w:cs="Calibri"/>
          <w:color w:val="000000"/>
          <w:sz w:val="12"/>
          <w:szCs w:val="12"/>
          <w:lang w:val="en-US"/>
        </w:rPr>
        <w:t>Maxmen</w:t>
      </w:r>
      <w:proofErr w:type="spellEnd"/>
      <w:r w:rsidRPr="006B0F79">
        <w:rPr>
          <w:rFonts w:ascii="Calibri" w:hAnsi="Calibri" w:cs="Calibri"/>
          <w:color w:val="000000"/>
          <w:sz w:val="12"/>
          <w:szCs w:val="12"/>
          <w:lang w:val="en-US"/>
        </w:rPr>
        <w:t xml:space="preserve">, «Busting the Billion-Dollar Myth: How to Slash the Cost of Drug Development», </w:t>
      </w:r>
      <w:r w:rsidRPr="006B0F79">
        <w:rPr>
          <w:rFonts w:ascii="Calibri" w:hAnsi="Calibri" w:cs="Calibri"/>
          <w:i/>
          <w:iCs/>
          <w:color w:val="000000"/>
          <w:sz w:val="12"/>
          <w:szCs w:val="12"/>
          <w:lang w:val="en-US"/>
        </w:rPr>
        <w:t xml:space="preserve">Nature News </w:t>
      </w:r>
      <w:r w:rsidRPr="006B0F79">
        <w:rPr>
          <w:rFonts w:ascii="Calibri" w:hAnsi="Calibri" w:cs="Calibri"/>
          <w:color w:val="000000"/>
          <w:sz w:val="12"/>
          <w:szCs w:val="12"/>
          <w:lang w:val="en-US"/>
        </w:rPr>
        <w:t xml:space="preserve">536, </w:t>
      </w:r>
      <w:proofErr w:type="spellStart"/>
      <w:r w:rsidRPr="006B0F79">
        <w:rPr>
          <w:rFonts w:ascii="Calibri" w:hAnsi="Calibri" w:cs="Calibri"/>
          <w:color w:val="000000"/>
          <w:sz w:val="12"/>
          <w:szCs w:val="12"/>
          <w:lang w:val="en-US"/>
        </w:rPr>
        <w:t>n.o</w:t>
      </w:r>
      <w:proofErr w:type="spellEnd"/>
      <w:r w:rsidRPr="006B0F79">
        <w:rPr>
          <w:rFonts w:ascii="Calibri" w:hAnsi="Calibri" w:cs="Calibri"/>
          <w:color w:val="000000"/>
          <w:sz w:val="12"/>
          <w:szCs w:val="12"/>
          <w:lang w:val="en-US"/>
        </w:rPr>
        <w:t xml:space="preserve"> 7617 (25 de </w:t>
      </w:r>
      <w:proofErr w:type="spellStart"/>
      <w:r w:rsidRPr="006B0F79">
        <w:rPr>
          <w:rFonts w:ascii="Calibri" w:hAnsi="Calibri" w:cs="Calibri"/>
          <w:color w:val="000000"/>
          <w:sz w:val="12"/>
          <w:szCs w:val="12"/>
          <w:lang w:val="en-US"/>
        </w:rPr>
        <w:t>agosto</w:t>
      </w:r>
      <w:proofErr w:type="spellEnd"/>
      <w:r w:rsidRPr="006B0F79">
        <w:rPr>
          <w:rFonts w:ascii="Calibri" w:hAnsi="Calibri" w:cs="Calibri"/>
          <w:color w:val="000000"/>
          <w:sz w:val="12"/>
          <w:szCs w:val="12"/>
          <w:lang w:val="en-US"/>
        </w:rPr>
        <w:t xml:space="preserve"> de 2016): 388, https://doi.org/10.1038/536388a. </w:t>
      </w:r>
    </w:p>
    <w:p w:rsidR="006B0F79" w:rsidRPr="00D018E4" w:rsidRDefault="006B0F79" w:rsidP="00D018E4">
      <w:pPr>
        <w:pStyle w:val="Textonotapie"/>
        <w:rPr>
          <w:sz w:val="12"/>
          <w:szCs w:val="12"/>
          <w:lang w:val="en-US"/>
        </w:rPr>
      </w:pPr>
    </w:p>
  </w:footnote>
  <w:footnote w:id="59">
    <w:p w:rsidR="00D018E4" w:rsidRPr="00D018E4" w:rsidRDefault="00D018E4" w:rsidP="00D018E4">
      <w:pPr>
        <w:pStyle w:val="Textonotapie"/>
        <w:rPr>
          <w:sz w:val="12"/>
          <w:szCs w:val="12"/>
        </w:rPr>
      </w:pPr>
      <w:r w:rsidRPr="00D018E4">
        <w:rPr>
          <w:rStyle w:val="Refdenotaalpie"/>
          <w:sz w:val="12"/>
          <w:szCs w:val="12"/>
        </w:rPr>
        <w:footnoteRef/>
      </w:r>
      <w:r w:rsidRPr="00D018E4">
        <w:rPr>
          <w:sz w:val="12"/>
          <w:szCs w:val="12"/>
        </w:rPr>
        <w:t xml:space="preserve"> </w:t>
      </w:r>
      <w:proofErr w:type="spellStart"/>
      <w:r w:rsidRPr="006B0F79">
        <w:rPr>
          <w:rFonts w:ascii="Calibri" w:hAnsi="Calibri" w:cs="Calibri"/>
          <w:color w:val="000000"/>
          <w:sz w:val="12"/>
          <w:szCs w:val="12"/>
        </w:rPr>
        <w:t>Invima</w:t>
      </w:r>
      <w:proofErr w:type="spellEnd"/>
      <w:r w:rsidRPr="006B0F79">
        <w:rPr>
          <w:rFonts w:ascii="Calibri" w:hAnsi="Calibri" w:cs="Calibri"/>
          <w:color w:val="000000"/>
          <w:sz w:val="12"/>
          <w:szCs w:val="12"/>
        </w:rPr>
        <w:t>, 2018.</w:t>
      </w:r>
    </w:p>
  </w:footnote>
  <w:footnote w:id="60">
    <w:p w:rsidR="00D018E4" w:rsidRPr="006B0F79" w:rsidRDefault="00D018E4" w:rsidP="00D018E4">
      <w:pPr>
        <w:autoSpaceDE w:val="0"/>
        <w:autoSpaceDN w:val="0"/>
        <w:adjustRightInd w:val="0"/>
        <w:spacing w:after="0" w:line="240" w:lineRule="auto"/>
        <w:rPr>
          <w:rFonts w:ascii="Segoe UI Emoji" w:hAnsi="Segoe UI Emoji" w:cs="Segoe UI Emoji"/>
          <w:color w:val="000000"/>
          <w:sz w:val="12"/>
          <w:szCs w:val="12"/>
        </w:rPr>
      </w:pPr>
      <w:r w:rsidRPr="00D018E4">
        <w:rPr>
          <w:rStyle w:val="Refdenotaalpie"/>
          <w:sz w:val="12"/>
          <w:szCs w:val="12"/>
        </w:rPr>
        <w:footnoteRef/>
      </w:r>
      <w:r w:rsidRPr="00D018E4">
        <w:rPr>
          <w:sz w:val="12"/>
          <w:szCs w:val="12"/>
        </w:rPr>
        <w:t xml:space="preserve"> </w:t>
      </w:r>
      <w:r w:rsidRPr="006B0F79">
        <w:rPr>
          <w:rFonts w:ascii="Calibri" w:hAnsi="Calibri" w:cs="Calibri"/>
          <w:color w:val="000000"/>
          <w:sz w:val="12"/>
          <w:szCs w:val="12"/>
        </w:rPr>
        <w:t>Las referencias se encuentran asociadas a firmas privadas con interés en la investigación clínica Ver https://www.latammarketaccess.com/blog/2015/9/7/investigacin-clnica-en-colombia-una-oportunidad-para-exportar-ms-de-usd-2-mil-millones-de-servicios-de-salud-en-el-</w:t>
      </w:r>
      <w:proofErr w:type="gramStart"/>
      <w:r w:rsidRPr="006B0F79">
        <w:rPr>
          <w:rFonts w:ascii="Calibri" w:hAnsi="Calibri" w:cs="Calibri"/>
          <w:color w:val="000000"/>
          <w:sz w:val="12"/>
          <w:szCs w:val="12"/>
        </w:rPr>
        <w:t>2020 .</w:t>
      </w:r>
      <w:proofErr w:type="gramEnd"/>
      <w:r w:rsidRPr="006B0F79">
        <w:rPr>
          <w:rFonts w:ascii="Calibri" w:hAnsi="Calibri" w:cs="Calibri"/>
          <w:color w:val="000000"/>
          <w:sz w:val="12"/>
          <w:szCs w:val="12"/>
        </w:rPr>
        <w:t xml:space="preserve"> Sin embargo los documentos oficiales de competitividad no lo mencionan Ver Informe Nacional de Competitividad 2017-2018 Disponible en https://compite.com.co/wp-content/uploads/2017/10/CPC_INC_2017-2018-web.pdf </w:t>
      </w:r>
      <w:r w:rsidRPr="006B0F79">
        <w:rPr>
          <w:rFonts w:ascii="Segoe UI Emoji" w:hAnsi="Segoe UI Emoji" w:cs="Segoe UI Emoji"/>
          <w:color w:val="000000"/>
          <w:sz w:val="12"/>
          <w:szCs w:val="12"/>
        </w:rPr>
        <w:t xml:space="preserve">Consulta 30/03/2018 </w:t>
      </w:r>
    </w:p>
    <w:p w:rsidR="00D018E4" w:rsidRPr="00D018E4" w:rsidRDefault="00D018E4" w:rsidP="00D018E4">
      <w:pPr>
        <w:pStyle w:val="Textonotapie"/>
        <w:rPr>
          <w:sz w:val="12"/>
          <w:szCs w:val="12"/>
        </w:rPr>
      </w:pPr>
    </w:p>
  </w:footnote>
  <w:footnote w:id="61">
    <w:p w:rsidR="00D018E4" w:rsidRPr="006B0F79" w:rsidRDefault="00D018E4" w:rsidP="00D018E4">
      <w:pPr>
        <w:autoSpaceDE w:val="0"/>
        <w:autoSpaceDN w:val="0"/>
        <w:adjustRightInd w:val="0"/>
        <w:spacing w:after="0" w:line="240" w:lineRule="auto"/>
        <w:rPr>
          <w:rFonts w:ascii="Segoe UI Emoji" w:hAnsi="Segoe UI Emoji" w:cs="Segoe UI Emoji"/>
          <w:color w:val="000000"/>
          <w:sz w:val="12"/>
          <w:szCs w:val="12"/>
        </w:rPr>
      </w:pPr>
      <w:r w:rsidRPr="00D018E4">
        <w:rPr>
          <w:rStyle w:val="Refdenotaalpie"/>
          <w:sz w:val="12"/>
          <w:szCs w:val="12"/>
        </w:rPr>
        <w:footnoteRef/>
      </w:r>
      <w:r w:rsidRPr="00D018E4">
        <w:rPr>
          <w:sz w:val="12"/>
          <w:szCs w:val="12"/>
        </w:rPr>
        <w:t xml:space="preserve"> Ver </w:t>
      </w:r>
      <w:r w:rsidRPr="006B0F79">
        <w:rPr>
          <w:rFonts w:ascii="Calibri" w:hAnsi="Calibri" w:cs="Calibri"/>
          <w:color w:val="000000"/>
          <w:sz w:val="12"/>
          <w:szCs w:val="12"/>
        </w:rPr>
        <w:t xml:space="preserve">http://www.ema.europa.eu/ema/index.jsp?curl=pages/special_topics/general/general_content_000555.jsp&amp;mid=WC0b01ac05809f363e </w:t>
      </w:r>
      <w:r w:rsidRPr="006B0F79">
        <w:rPr>
          <w:rFonts w:ascii="Segoe UI Emoji" w:hAnsi="Segoe UI Emoji" w:cs="Segoe UI Emoji"/>
          <w:color w:val="000000"/>
          <w:sz w:val="12"/>
          <w:szCs w:val="12"/>
        </w:rPr>
        <w:t xml:space="preserve">y </w:t>
      </w:r>
      <w:r w:rsidRPr="006B0F79">
        <w:rPr>
          <w:rFonts w:ascii="Calibri" w:hAnsi="Calibri" w:cs="Calibri"/>
          <w:color w:val="000000"/>
          <w:sz w:val="12"/>
          <w:szCs w:val="12"/>
        </w:rPr>
        <w:t xml:space="preserve">http://www.ema.europa.eu/docs/en_GB/document_library/Other/2014/10/WC500174796.pdf Consulta 30/03/2018 </w:t>
      </w:r>
    </w:p>
    <w:p w:rsidR="00D018E4" w:rsidRPr="00D018E4" w:rsidRDefault="00D018E4" w:rsidP="00D018E4">
      <w:pPr>
        <w:pStyle w:val="Textonotapie"/>
        <w:rPr>
          <w:sz w:val="12"/>
          <w:szCs w:val="12"/>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2AA" w:rsidRDefault="00D242AA" w:rsidP="00D242AA">
    <w:pPr>
      <w:pStyle w:val="Encabezado"/>
      <w:jc w:val="center"/>
    </w:pPr>
    <w:r>
      <w:rPr>
        <w:noProof/>
        <w:lang w:eastAsia="es-CO"/>
      </w:rPr>
      <w:drawing>
        <wp:inline distT="0" distB="0" distL="0" distR="0" wp14:anchorId="21671245" wp14:editId="0A34B31E">
          <wp:extent cx="1578268" cy="793820"/>
          <wp:effectExtent l="0" t="0" r="3175" b="635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593" cy="81460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27642"/>
    <w:multiLevelType w:val="hybridMultilevel"/>
    <w:tmpl w:val="2DD82EF6"/>
    <w:lvl w:ilvl="0" w:tplc="240A001B">
      <w:start w:val="1"/>
      <w:numFmt w:val="low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118E2299"/>
    <w:multiLevelType w:val="hybridMultilevel"/>
    <w:tmpl w:val="01021C40"/>
    <w:lvl w:ilvl="0" w:tplc="FDB81B28">
      <w:numFmt w:val="bullet"/>
      <w:lvlText w:val=""/>
      <w:lvlJc w:val="left"/>
      <w:pPr>
        <w:ind w:left="720" w:hanging="360"/>
      </w:pPr>
      <w:rPr>
        <w:rFonts w:ascii="Segoe UI Emoji" w:eastAsiaTheme="minorHAnsi" w:hAnsi="Segoe UI Emoji" w:cs="Segoe UI Emoj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220B4B0A"/>
    <w:multiLevelType w:val="hybridMultilevel"/>
    <w:tmpl w:val="362C8FE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D362D70"/>
    <w:multiLevelType w:val="hybridMultilevel"/>
    <w:tmpl w:val="3A706D70"/>
    <w:lvl w:ilvl="0" w:tplc="4830E5B6">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542F6005"/>
    <w:multiLevelType w:val="hybridMultilevel"/>
    <w:tmpl w:val="C9705D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66897019"/>
    <w:multiLevelType w:val="hybridMultilevel"/>
    <w:tmpl w:val="98626606"/>
    <w:lvl w:ilvl="0" w:tplc="ECB0CAB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74373898"/>
    <w:multiLevelType w:val="hybridMultilevel"/>
    <w:tmpl w:val="2F02DB84"/>
    <w:lvl w:ilvl="0" w:tplc="FDB81B28">
      <w:numFmt w:val="bullet"/>
      <w:lvlText w:val=""/>
      <w:lvlJc w:val="left"/>
      <w:pPr>
        <w:ind w:left="720" w:hanging="360"/>
      </w:pPr>
      <w:rPr>
        <w:rFonts w:ascii="Segoe UI Emoji" w:eastAsiaTheme="minorHAnsi" w:hAnsi="Segoe UI Emoji" w:cs="Segoe UI Emoj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7E78129F"/>
    <w:multiLevelType w:val="hybridMultilevel"/>
    <w:tmpl w:val="1BB06DC0"/>
    <w:lvl w:ilvl="0" w:tplc="240A001B">
      <w:start w:val="1"/>
      <w:numFmt w:val="low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4"/>
  </w:num>
  <w:num w:numId="2">
    <w:abstractNumId w:val="6"/>
  </w:num>
  <w:num w:numId="3">
    <w:abstractNumId w:val="1"/>
  </w:num>
  <w:num w:numId="4">
    <w:abstractNumId w:val="2"/>
  </w:num>
  <w:num w:numId="5">
    <w:abstractNumId w:val="0"/>
  </w:num>
  <w:num w:numId="6">
    <w:abstractNumId w:val="3"/>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F43"/>
    <w:rsid w:val="00071832"/>
    <w:rsid w:val="000A4626"/>
    <w:rsid w:val="00101C43"/>
    <w:rsid w:val="001158BE"/>
    <w:rsid w:val="00121ACE"/>
    <w:rsid w:val="00205471"/>
    <w:rsid w:val="00250428"/>
    <w:rsid w:val="002C45B1"/>
    <w:rsid w:val="002F6E16"/>
    <w:rsid w:val="00394484"/>
    <w:rsid w:val="003B707D"/>
    <w:rsid w:val="00423CE3"/>
    <w:rsid w:val="004A3B36"/>
    <w:rsid w:val="004F2839"/>
    <w:rsid w:val="00535077"/>
    <w:rsid w:val="00620A8B"/>
    <w:rsid w:val="006B0F79"/>
    <w:rsid w:val="006E0C12"/>
    <w:rsid w:val="00703EB2"/>
    <w:rsid w:val="007353F2"/>
    <w:rsid w:val="00745BAB"/>
    <w:rsid w:val="007A5739"/>
    <w:rsid w:val="00837E91"/>
    <w:rsid w:val="008614AC"/>
    <w:rsid w:val="00863C47"/>
    <w:rsid w:val="008801D1"/>
    <w:rsid w:val="008D1E50"/>
    <w:rsid w:val="008F0601"/>
    <w:rsid w:val="009911FE"/>
    <w:rsid w:val="00A10DC8"/>
    <w:rsid w:val="00AF02DF"/>
    <w:rsid w:val="00AF71A8"/>
    <w:rsid w:val="00B05C4F"/>
    <w:rsid w:val="00B60BB4"/>
    <w:rsid w:val="00B81512"/>
    <w:rsid w:val="00B9079E"/>
    <w:rsid w:val="00C71D5C"/>
    <w:rsid w:val="00CB5B55"/>
    <w:rsid w:val="00D018E4"/>
    <w:rsid w:val="00D242AA"/>
    <w:rsid w:val="00EA3DD1"/>
    <w:rsid w:val="00F214D4"/>
    <w:rsid w:val="00FB0F4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FB0F43"/>
    <w:pPr>
      <w:autoSpaceDE w:val="0"/>
      <w:autoSpaceDN w:val="0"/>
      <w:adjustRightInd w:val="0"/>
      <w:spacing w:after="0" w:line="240" w:lineRule="auto"/>
    </w:pPr>
    <w:rPr>
      <w:rFonts w:ascii="Calibri" w:hAnsi="Calibri" w:cs="Calibri"/>
      <w:color w:val="000000"/>
      <w:sz w:val="24"/>
      <w:szCs w:val="24"/>
    </w:rPr>
  </w:style>
  <w:style w:type="paragraph" w:styleId="Textonotapie">
    <w:name w:val="footnote text"/>
    <w:basedOn w:val="Normal"/>
    <w:link w:val="TextonotapieCar"/>
    <w:uiPriority w:val="99"/>
    <w:semiHidden/>
    <w:unhideWhenUsed/>
    <w:rsid w:val="00FB0F4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B0F43"/>
    <w:rPr>
      <w:sz w:val="20"/>
      <w:szCs w:val="20"/>
    </w:rPr>
  </w:style>
  <w:style w:type="character" w:styleId="Refdenotaalpie">
    <w:name w:val="footnote reference"/>
    <w:basedOn w:val="Fuentedeprrafopredeter"/>
    <w:uiPriority w:val="99"/>
    <w:semiHidden/>
    <w:unhideWhenUsed/>
    <w:rsid w:val="00FB0F43"/>
    <w:rPr>
      <w:vertAlign w:val="superscript"/>
    </w:rPr>
  </w:style>
  <w:style w:type="character" w:styleId="Hipervnculo">
    <w:name w:val="Hyperlink"/>
    <w:basedOn w:val="Fuentedeprrafopredeter"/>
    <w:uiPriority w:val="99"/>
    <w:unhideWhenUsed/>
    <w:rsid w:val="00250428"/>
    <w:rPr>
      <w:color w:val="0000FF" w:themeColor="hyperlink"/>
      <w:u w:val="single"/>
    </w:rPr>
  </w:style>
  <w:style w:type="paragraph" w:styleId="Prrafodelista">
    <w:name w:val="List Paragraph"/>
    <w:basedOn w:val="Normal"/>
    <w:uiPriority w:val="34"/>
    <w:qFormat/>
    <w:rsid w:val="00745BAB"/>
    <w:pPr>
      <w:ind w:left="720"/>
      <w:contextualSpacing/>
    </w:pPr>
  </w:style>
  <w:style w:type="paragraph" w:customStyle="1" w:styleId="Poromisin">
    <w:name w:val="Por omisión"/>
    <w:rsid w:val="00AF02DF"/>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s-ES_tradnl" w:eastAsia="es-CO"/>
    </w:rPr>
  </w:style>
  <w:style w:type="character" w:customStyle="1" w:styleId="Ninguno">
    <w:name w:val="Ninguno"/>
    <w:rsid w:val="00AF02DF"/>
    <w:rPr>
      <w:lang w:val="es-ES_tradnl"/>
    </w:rPr>
  </w:style>
  <w:style w:type="paragraph" w:customStyle="1" w:styleId="Cuerpo">
    <w:name w:val="Cuerpo"/>
    <w:rsid w:val="00AF02DF"/>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de-DE" w:eastAsia="es-CO"/>
    </w:rPr>
  </w:style>
  <w:style w:type="paragraph" w:styleId="Encabezado">
    <w:name w:val="header"/>
    <w:basedOn w:val="Normal"/>
    <w:link w:val="EncabezadoCar"/>
    <w:uiPriority w:val="99"/>
    <w:unhideWhenUsed/>
    <w:rsid w:val="00D242A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242AA"/>
  </w:style>
  <w:style w:type="paragraph" w:styleId="Piedepgina">
    <w:name w:val="footer"/>
    <w:basedOn w:val="Normal"/>
    <w:link w:val="PiedepginaCar"/>
    <w:uiPriority w:val="99"/>
    <w:unhideWhenUsed/>
    <w:rsid w:val="00D242A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242AA"/>
  </w:style>
  <w:style w:type="paragraph" w:styleId="Textodeglobo">
    <w:name w:val="Balloon Text"/>
    <w:basedOn w:val="Normal"/>
    <w:link w:val="TextodegloboCar"/>
    <w:uiPriority w:val="99"/>
    <w:semiHidden/>
    <w:unhideWhenUsed/>
    <w:rsid w:val="00D242A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242A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FB0F43"/>
    <w:pPr>
      <w:autoSpaceDE w:val="0"/>
      <w:autoSpaceDN w:val="0"/>
      <w:adjustRightInd w:val="0"/>
      <w:spacing w:after="0" w:line="240" w:lineRule="auto"/>
    </w:pPr>
    <w:rPr>
      <w:rFonts w:ascii="Calibri" w:hAnsi="Calibri" w:cs="Calibri"/>
      <w:color w:val="000000"/>
      <w:sz w:val="24"/>
      <w:szCs w:val="24"/>
    </w:rPr>
  </w:style>
  <w:style w:type="paragraph" w:styleId="Textonotapie">
    <w:name w:val="footnote text"/>
    <w:basedOn w:val="Normal"/>
    <w:link w:val="TextonotapieCar"/>
    <w:uiPriority w:val="99"/>
    <w:semiHidden/>
    <w:unhideWhenUsed/>
    <w:rsid w:val="00FB0F4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B0F43"/>
    <w:rPr>
      <w:sz w:val="20"/>
      <w:szCs w:val="20"/>
    </w:rPr>
  </w:style>
  <w:style w:type="character" w:styleId="Refdenotaalpie">
    <w:name w:val="footnote reference"/>
    <w:basedOn w:val="Fuentedeprrafopredeter"/>
    <w:uiPriority w:val="99"/>
    <w:semiHidden/>
    <w:unhideWhenUsed/>
    <w:rsid w:val="00FB0F43"/>
    <w:rPr>
      <w:vertAlign w:val="superscript"/>
    </w:rPr>
  </w:style>
  <w:style w:type="character" w:styleId="Hipervnculo">
    <w:name w:val="Hyperlink"/>
    <w:basedOn w:val="Fuentedeprrafopredeter"/>
    <w:uiPriority w:val="99"/>
    <w:unhideWhenUsed/>
    <w:rsid w:val="00250428"/>
    <w:rPr>
      <w:color w:val="0000FF" w:themeColor="hyperlink"/>
      <w:u w:val="single"/>
    </w:rPr>
  </w:style>
  <w:style w:type="paragraph" w:styleId="Prrafodelista">
    <w:name w:val="List Paragraph"/>
    <w:basedOn w:val="Normal"/>
    <w:uiPriority w:val="34"/>
    <w:qFormat/>
    <w:rsid w:val="00745BAB"/>
    <w:pPr>
      <w:ind w:left="720"/>
      <w:contextualSpacing/>
    </w:pPr>
  </w:style>
  <w:style w:type="paragraph" w:customStyle="1" w:styleId="Poromisin">
    <w:name w:val="Por omisión"/>
    <w:rsid w:val="00AF02DF"/>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s-ES_tradnl" w:eastAsia="es-CO"/>
    </w:rPr>
  </w:style>
  <w:style w:type="character" w:customStyle="1" w:styleId="Ninguno">
    <w:name w:val="Ninguno"/>
    <w:rsid w:val="00AF02DF"/>
    <w:rPr>
      <w:lang w:val="es-ES_tradnl"/>
    </w:rPr>
  </w:style>
  <w:style w:type="paragraph" w:customStyle="1" w:styleId="Cuerpo">
    <w:name w:val="Cuerpo"/>
    <w:rsid w:val="00AF02DF"/>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de-DE" w:eastAsia="es-CO"/>
    </w:rPr>
  </w:style>
  <w:style w:type="paragraph" w:styleId="Encabezado">
    <w:name w:val="header"/>
    <w:basedOn w:val="Normal"/>
    <w:link w:val="EncabezadoCar"/>
    <w:uiPriority w:val="99"/>
    <w:unhideWhenUsed/>
    <w:rsid w:val="00D242A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242AA"/>
  </w:style>
  <w:style w:type="paragraph" w:styleId="Piedepgina">
    <w:name w:val="footer"/>
    <w:basedOn w:val="Normal"/>
    <w:link w:val="PiedepginaCar"/>
    <w:uiPriority w:val="99"/>
    <w:unhideWhenUsed/>
    <w:rsid w:val="00D242A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242AA"/>
  </w:style>
  <w:style w:type="paragraph" w:styleId="Textodeglobo">
    <w:name w:val="Balloon Text"/>
    <w:basedOn w:val="Normal"/>
    <w:link w:val="TextodegloboCar"/>
    <w:uiPriority w:val="99"/>
    <w:semiHidden/>
    <w:unhideWhenUsed/>
    <w:rsid w:val="00D242A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242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sdbiblioteca.org/pdf/AgendaEnSalud2018.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file:///D:/Usuarios/CristianCamilo/Downloads/9789243563701_spa.pdf%20Consulta%2030/03/2018" TargetMode="External"/><Relationship Id="rId1" Type="http://schemas.openxmlformats.org/officeDocument/2006/relationships/hyperlink" Target="http://www.corteconstitucional.gov.co/relatoria/2016/C-620-16.htm.%20Consulta%2030/03/201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058147-75FA-4ED7-8433-BD5E29C15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7368</Words>
  <Characters>40525</Characters>
  <Application>Microsoft Office Word</Application>
  <DocSecurity>0</DocSecurity>
  <Lines>337</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Aida Margarita Hernandez Angulo</dc:creator>
  <cp:lastModifiedBy>Aida Margarita Hernandez Angulo</cp:lastModifiedBy>
  <cp:revision>2</cp:revision>
  <cp:lastPrinted>2019-07-29T17:08:00Z</cp:lastPrinted>
  <dcterms:created xsi:type="dcterms:W3CDTF">2019-08-12T22:07:00Z</dcterms:created>
  <dcterms:modified xsi:type="dcterms:W3CDTF">2019-08-12T22:07:00Z</dcterms:modified>
</cp:coreProperties>
</file>